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-185420</wp:posOffset>
            </wp:positionV>
            <wp:extent cx="1219200" cy="11430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Pr="004E782A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zastupiteľstva konaného dňa </w:t>
      </w:r>
      <w:r w:rsidR="001345FB">
        <w:rPr>
          <w:rFonts w:ascii="Times New Roman" w:eastAsia="Calibri" w:hAnsi="Times New Roman" w:cs="Times New Roman"/>
          <w:b/>
          <w:sz w:val="24"/>
          <w:szCs w:val="24"/>
        </w:rPr>
        <w:t>09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345F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.2016</w:t>
      </w:r>
    </w:p>
    <w:p w:rsidR="00B04CFD" w:rsidRPr="00437408" w:rsidRDefault="00B04CFD" w:rsidP="00B04C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A919A5" w:rsidRDefault="00A919A5" w:rsidP="003E7B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Default="00B04CFD" w:rsidP="003E7B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1345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  <w:bookmarkStart w:id="0" w:name="_GoBack"/>
      <w:bookmarkEnd w:id="0"/>
    </w:p>
    <w:p w:rsidR="00B04CFD" w:rsidRDefault="00B04CFD" w:rsidP="003E7B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6B7419" w:rsidRDefault="006B7419" w:rsidP="00EE0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v zmysle </w:t>
      </w:r>
      <w:r w:rsidRPr="00EE0162">
        <w:rPr>
          <w:rFonts w:ascii="Times New Roman" w:hAnsi="Times New Roman" w:cs="Times New Roman"/>
          <w:sz w:val="24"/>
          <w:szCs w:val="24"/>
        </w:rPr>
        <w:t xml:space="preserve">§ 9, </w:t>
      </w:r>
      <w:proofErr w:type="spellStart"/>
      <w:r w:rsidRPr="00EE0162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EE0162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Pr="00EE0162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EE0162">
        <w:rPr>
          <w:rFonts w:ascii="Times New Roman" w:hAnsi="Times New Roman" w:cs="Times New Roman"/>
          <w:sz w:val="24"/>
          <w:szCs w:val="24"/>
        </w:rPr>
        <w:t xml:space="preserve"> e) zákona</w:t>
      </w:r>
      <w:r>
        <w:rPr>
          <w:rFonts w:ascii="Times New Roman" w:hAnsi="Times New Roman" w:cs="Times New Roman"/>
          <w:sz w:val="24"/>
          <w:szCs w:val="24"/>
        </w:rPr>
        <w:t xml:space="preserve"> SNR 138/91 Zb. o majetku obcí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jeho doplnkov a v zmysle Zásad hospodárenia obce a na základe ustanovení  §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a/ zákona SNR  č. 369/90 Zb. o obecnom zriadení v znení jeho  zmien a doplnkov,  odpredaj pozemku Jánovi a 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Čupkovej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trvale bytom Toporec, </w:t>
      </w:r>
      <w:r w:rsidRPr="00AC3FFC">
        <w:rPr>
          <w:rFonts w:ascii="Times New Roman" w:hAnsi="Times New Roman" w:cs="Times New Roman"/>
          <w:sz w:val="24"/>
          <w:szCs w:val="24"/>
        </w:rPr>
        <w:t xml:space="preserve">Horná </w:t>
      </w:r>
      <w:r w:rsidR="00AC3FFC" w:rsidRPr="00AC3FFC">
        <w:rPr>
          <w:rFonts w:ascii="Times New Roman" w:hAnsi="Times New Roman" w:cs="Times New Roman"/>
          <w:sz w:val="24"/>
          <w:szCs w:val="24"/>
        </w:rPr>
        <w:t>155</w:t>
      </w:r>
      <w:r w:rsidRPr="00AC3FFC">
        <w:rPr>
          <w:rFonts w:ascii="Times New Roman" w:hAnsi="Times New Roman" w:cs="Times New Roman"/>
          <w:sz w:val="24"/>
          <w:szCs w:val="24"/>
        </w:rPr>
        <w:t>/</w:t>
      </w:r>
      <w:r w:rsidR="00AC3FFC" w:rsidRPr="00AC3FFC">
        <w:rPr>
          <w:rFonts w:ascii="Times New Roman" w:hAnsi="Times New Roman" w:cs="Times New Roman"/>
          <w:sz w:val="24"/>
          <w:szCs w:val="24"/>
        </w:rPr>
        <w:t>15</w:t>
      </w:r>
      <w:r w:rsidRPr="00AC3FFC">
        <w:rPr>
          <w:rFonts w:ascii="Times New Roman" w:hAnsi="Times New Roman" w:cs="Times New Roman"/>
          <w:sz w:val="24"/>
          <w:szCs w:val="24"/>
        </w:rPr>
        <w:t xml:space="preserve"> podľa GP č. 34629114-17/16 zo dňa 21.03.2016, ide o výmeru 313 m2, ktorá je v GP</w:t>
      </w:r>
      <w:r>
        <w:rPr>
          <w:rFonts w:ascii="Times New Roman" w:hAnsi="Times New Roman" w:cs="Times New Roman"/>
          <w:sz w:val="24"/>
          <w:szCs w:val="24"/>
        </w:rPr>
        <w:t xml:space="preserve"> označená ako diel 1, tento diel je odčlenený  od pozemku KN-C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4902/1 – ostatná plocha,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obce Toporec, ktorého podľa zápisu je Obec Toporec a je zapísaná na LV č. 248. Pozemok odpredať meter štvorcový za cenu 1,70 €  poplatky hrad</w:t>
      </w:r>
      <w:r w:rsidR="0098452A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 kupujúci</w:t>
      </w:r>
      <w:r w:rsidR="0098452A">
        <w:rPr>
          <w:rFonts w:ascii="Times New Roman" w:hAnsi="Times New Roman" w:cs="Times New Roman"/>
          <w:sz w:val="24"/>
          <w:szCs w:val="24"/>
        </w:rPr>
        <w:t>.</w:t>
      </w:r>
    </w:p>
    <w:p w:rsidR="00EE0162" w:rsidRDefault="00EE0162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19" w:rsidRDefault="006B7419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rozpočtové opatrenia za obdobie od januára 2016 a to nasledovné :</w:t>
      </w:r>
    </w:p>
    <w:tbl>
      <w:tblPr>
        <w:tblW w:w="9962" w:type="dxa"/>
        <w:tblCellMar>
          <w:left w:w="70" w:type="dxa"/>
          <w:right w:w="70" w:type="dxa"/>
        </w:tblCellMar>
        <w:tblLook w:val="04A0"/>
      </w:tblPr>
      <w:tblGrid>
        <w:gridCol w:w="413"/>
        <w:gridCol w:w="1894"/>
        <w:gridCol w:w="413"/>
        <w:gridCol w:w="140"/>
        <w:gridCol w:w="1120"/>
        <w:gridCol w:w="774"/>
        <w:gridCol w:w="413"/>
        <w:gridCol w:w="707"/>
        <w:gridCol w:w="413"/>
        <w:gridCol w:w="408"/>
        <w:gridCol w:w="960"/>
        <w:gridCol w:w="934"/>
        <w:gridCol w:w="413"/>
        <w:gridCol w:w="547"/>
        <w:gridCol w:w="413"/>
      </w:tblGrid>
      <w:tr w:rsidR="006B7419" w:rsidTr="00E86B14">
        <w:trPr>
          <w:gridAfter w:val="1"/>
          <w:wAfter w:w="413" w:type="dxa"/>
          <w:trHeight w:val="255"/>
        </w:trPr>
        <w:tc>
          <w:tcPr>
            <w:tcW w:w="2307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  <w:r>
              <w:rPr>
                <w:rFonts w:eastAsiaTheme="minorEastAsia" w:cs="Times New Roman"/>
                <w:lang w:eastAsia="sk-SK"/>
              </w:rPr>
              <w:t>Príjmy</w:t>
            </w:r>
          </w:p>
        </w:tc>
        <w:tc>
          <w:tcPr>
            <w:tcW w:w="2447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P. č.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Schválený rozpočet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Presun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Rozpočet po rozpočtovom opatrení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Dotácia MF SR - telocvičňa, </w:t>
            </w:r>
          </w:p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Dotácia DHZ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699 260,00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100 700,00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799 960,00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Podielové dane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478 451,00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2 123,00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480 574,00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  <w:t>1 177 711,00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  <w:t>102 823,00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  <w:t>1 280 534,00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gridAfter w:val="1"/>
          <w:wAfter w:w="413" w:type="dxa"/>
          <w:trHeight w:val="255"/>
        </w:trPr>
        <w:tc>
          <w:tcPr>
            <w:tcW w:w="2307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  <w:r>
              <w:rPr>
                <w:rFonts w:eastAsiaTheme="minorEastAsia" w:cs="Times New Roman"/>
                <w:lang w:eastAsia="sk-SK"/>
              </w:rPr>
              <w:t>Výdavky</w:t>
            </w:r>
          </w:p>
        </w:tc>
        <w:tc>
          <w:tcPr>
            <w:tcW w:w="2447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P. č.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Schválený rozpočet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Presun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Rozpočet po rozpočtovom opatrení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Zdravotné stredisko-materiál + vybavenie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703,00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703,00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Zdravotné stredisko-maľba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1 420,00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1 420,00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DHZ - použitie dotácie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700,00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950,00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Telocvičňa - použitie dotácie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100 000,00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200 000,00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100 250,00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102 823,00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419" w:rsidRDefault="006B7419" w:rsidP="00E86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203 073,00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307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307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gridAfter w:val="4"/>
          <w:wAfter w:w="2307" w:type="dxa"/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5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gridAfter w:val="4"/>
          <w:wAfter w:w="2307" w:type="dxa"/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5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gridAfter w:val="4"/>
          <w:wAfter w:w="2307" w:type="dxa"/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5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gridAfter w:val="4"/>
          <w:wAfter w:w="2307" w:type="dxa"/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5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307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4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B7419" w:rsidTr="00E86B14">
        <w:trPr>
          <w:gridAfter w:val="4"/>
          <w:wAfter w:w="2307" w:type="dxa"/>
          <w:trHeight w:val="255"/>
        </w:trPr>
        <w:tc>
          <w:tcPr>
            <w:tcW w:w="413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5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B7419" w:rsidRDefault="006B7419" w:rsidP="00E86B14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</w:tbl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A5" w:rsidRDefault="00B04CFD" w:rsidP="00A91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1345FB">
        <w:rPr>
          <w:rFonts w:ascii="Times New Roman" w:hAnsi="Times New Roman" w:cs="Times New Roman"/>
          <w:b/>
          <w:sz w:val="24"/>
          <w:szCs w:val="24"/>
        </w:rPr>
        <w:t>10</w:t>
      </w:r>
      <w:r w:rsidR="00A919A5">
        <w:rPr>
          <w:rFonts w:ascii="Times New Roman" w:hAnsi="Times New Roman" w:cs="Times New Roman"/>
          <w:b/>
          <w:sz w:val="24"/>
          <w:szCs w:val="24"/>
        </w:rPr>
        <w:t>/2016</w:t>
      </w:r>
    </w:p>
    <w:p w:rsidR="006B7419" w:rsidRDefault="006B7419" w:rsidP="006B7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19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</w:p>
    <w:p w:rsidR="006B7419" w:rsidRPr="006B7419" w:rsidRDefault="006B7419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19">
        <w:rPr>
          <w:rFonts w:ascii="Times New Roman" w:hAnsi="Times New Roman" w:cs="Times New Roman"/>
          <w:sz w:val="24"/>
          <w:szCs w:val="24"/>
        </w:rPr>
        <w:t xml:space="preserve">a/ </w:t>
      </w:r>
      <w:r w:rsidR="00801E83">
        <w:rPr>
          <w:rFonts w:ascii="Times New Roman" w:hAnsi="Times New Roman" w:cs="Times New Roman"/>
          <w:sz w:val="24"/>
          <w:szCs w:val="24"/>
        </w:rPr>
        <w:t>s</w:t>
      </w:r>
      <w:r w:rsidRPr="006B7419">
        <w:rPr>
          <w:rFonts w:ascii="Times New Roman" w:hAnsi="Times New Roman" w:cs="Times New Roman"/>
          <w:sz w:val="24"/>
          <w:szCs w:val="24"/>
        </w:rPr>
        <w:t>právu o vykonanom výberovom konaní na nákup materiálu a to dlažobné kocky a obrubn</w:t>
      </w:r>
      <w:r w:rsidR="00211C7D">
        <w:rPr>
          <w:rFonts w:ascii="Times New Roman" w:hAnsi="Times New Roman" w:cs="Times New Roman"/>
          <w:sz w:val="24"/>
          <w:szCs w:val="24"/>
        </w:rPr>
        <w:t>í</w:t>
      </w:r>
      <w:r w:rsidRPr="006B7419">
        <w:rPr>
          <w:rFonts w:ascii="Times New Roman" w:hAnsi="Times New Roman" w:cs="Times New Roman"/>
          <w:sz w:val="24"/>
          <w:szCs w:val="24"/>
        </w:rPr>
        <w:t>ky</w:t>
      </w:r>
    </w:p>
    <w:p w:rsidR="006B7419" w:rsidRPr="00EE0162" w:rsidRDefault="006B7419" w:rsidP="006B7419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0162">
        <w:rPr>
          <w:rFonts w:ascii="Times New Roman" w:hAnsi="Times New Roman" w:cs="Times New Roman"/>
          <w:sz w:val="24"/>
          <w:szCs w:val="24"/>
        </w:rPr>
        <w:t xml:space="preserve">Stavebniny </w:t>
      </w:r>
      <w:proofErr w:type="spellStart"/>
      <w:r w:rsidRPr="00EE0162">
        <w:rPr>
          <w:rFonts w:ascii="Times New Roman" w:hAnsi="Times New Roman" w:cs="Times New Roman"/>
          <w:sz w:val="24"/>
          <w:szCs w:val="24"/>
        </w:rPr>
        <w:t>Furcoň</w:t>
      </w:r>
      <w:proofErr w:type="spellEnd"/>
      <w:r w:rsidRPr="00EE01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0162">
        <w:rPr>
          <w:rFonts w:ascii="Times New Roman" w:hAnsi="Times New Roman" w:cs="Times New Roman"/>
          <w:sz w:val="24"/>
          <w:szCs w:val="24"/>
        </w:rPr>
        <w:t>obrub</w:t>
      </w:r>
      <w:proofErr w:type="spellEnd"/>
      <w:r w:rsidRPr="00EE0162">
        <w:rPr>
          <w:rFonts w:ascii="Times New Roman" w:hAnsi="Times New Roman" w:cs="Times New Roman"/>
          <w:sz w:val="24"/>
          <w:szCs w:val="24"/>
        </w:rPr>
        <w:t xml:space="preserve">. 1.60,-/ks, dlažba 6,80,- m/ </w:t>
      </w:r>
      <w:r w:rsidRPr="00EE0162">
        <w:rPr>
          <w:rFonts w:ascii="Times New Roman" w:hAnsi="Times New Roman" w:cs="Times New Roman"/>
          <w:b/>
          <w:color w:val="FF0000"/>
          <w:sz w:val="24"/>
          <w:szCs w:val="24"/>
        </w:rPr>
        <w:t>2 884,-eur</w:t>
      </w:r>
    </w:p>
    <w:p w:rsidR="006B7419" w:rsidRPr="00EE0162" w:rsidRDefault="006B7419" w:rsidP="006B7419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162">
        <w:rPr>
          <w:rFonts w:ascii="Times New Roman" w:hAnsi="Times New Roman" w:cs="Times New Roman"/>
          <w:sz w:val="24"/>
          <w:szCs w:val="24"/>
        </w:rPr>
        <w:t>Pebek</w:t>
      </w:r>
      <w:proofErr w:type="spellEnd"/>
      <w:r w:rsidRPr="00EE0162">
        <w:rPr>
          <w:rFonts w:ascii="Times New Roman" w:hAnsi="Times New Roman" w:cs="Times New Roman"/>
          <w:sz w:val="24"/>
          <w:szCs w:val="24"/>
        </w:rPr>
        <w:t xml:space="preserve"> Matejovce  </w:t>
      </w:r>
      <w:proofErr w:type="spellStart"/>
      <w:r w:rsidRPr="00EE0162">
        <w:rPr>
          <w:rFonts w:ascii="Times New Roman" w:hAnsi="Times New Roman" w:cs="Times New Roman"/>
          <w:sz w:val="24"/>
          <w:szCs w:val="24"/>
        </w:rPr>
        <w:t>obrub</w:t>
      </w:r>
      <w:proofErr w:type="spellEnd"/>
      <w:r w:rsidRPr="00EE0162">
        <w:rPr>
          <w:rFonts w:ascii="Times New Roman" w:hAnsi="Times New Roman" w:cs="Times New Roman"/>
          <w:sz w:val="24"/>
          <w:szCs w:val="24"/>
        </w:rPr>
        <w:t>. 1,28,-/ks, dlažba 8,27,- m/</w:t>
      </w:r>
      <w:r w:rsidRPr="00EE01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0162">
        <w:rPr>
          <w:rFonts w:ascii="Times New Roman" w:hAnsi="Times New Roman" w:cs="Times New Roman"/>
          <w:sz w:val="24"/>
          <w:szCs w:val="24"/>
        </w:rPr>
        <w:t xml:space="preserve"> 3 467,</w:t>
      </w:r>
      <w:r w:rsidR="001B3501" w:rsidRPr="00EE0162">
        <w:rPr>
          <w:rFonts w:ascii="Times New Roman" w:hAnsi="Times New Roman" w:cs="Times New Roman"/>
          <w:sz w:val="24"/>
          <w:szCs w:val="24"/>
        </w:rPr>
        <w:t xml:space="preserve"> 50</w:t>
      </w:r>
      <w:r w:rsidRPr="00EE0162">
        <w:rPr>
          <w:rFonts w:ascii="Times New Roman" w:hAnsi="Times New Roman" w:cs="Times New Roman"/>
          <w:sz w:val="24"/>
          <w:szCs w:val="24"/>
        </w:rPr>
        <w:t>- eur</w:t>
      </w:r>
    </w:p>
    <w:p w:rsidR="006B7419" w:rsidRPr="00EE0162" w:rsidRDefault="006B7419" w:rsidP="006B7419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62">
        <w:rPr>
          <w:rFonts w:ascii="Times New Roman" w:hAnsi="Times New Roman" w:cs="Times New Roman"/>
          <w:sz w:val="24"/>
          <w:szCs w:val="24"/>
        </w:rPr>
        <w:t xml:space="preserve">Stavebniny </w:t>
      </w:r>
      <w:proofErr w:type="spellStart"/>
      <w:r w:rsidRPr="00EE0162">
        <w:rPr>
          <w:rFonts w:ascii="Times New Roman" w:hAnsi="Times New Roman" w:cs="Times New Roman"/>
          <w:sz w:val="24"/>
          <w:szCs w:val="24"/>
        </w:rPr>
        <w:t>Podolinec</w:t>
      </w:r>
      <w:proofErr w:type="spellEnd"/>
      <w:r w:rsidRPr="00EE0162">
        <w:rPr>
          <w:rFonts w:ascii="Times New Roman" w:hAnsi="Times New Roman" w:cs="Times New Roman"/>
          <w:sz w:val="24"/>
          <w:szCs w:val="24"/>
        </w:rPr>
        <w:t xml:space="preserve">  Baláž  - nepodal</w:t>
      </w:r>
      <w:r w:rsidR="00EE0162" w:rsidRPr="00EE0162">
        <w:rPr>
          <w:rFonts w:ascii="Times New Roman" w:hAnsi="Times New Roman" w:cs="Times New Roman"/>
          <w:sz w:val="24"/>
          <w:szCs w:val="24"/>
        </w:rPr>
        <w:t xml:space="preserve"> ponuku </w:t>
      </w:r>
    </w:p>
    <w:p w:rsidR="006B7419" w:rsidRPr="00EE0162" w:rsidRDefault="006B7419" w:rsidP="006B741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419" w:rsidRDefault="00801E8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B7419" w:rsidRPr="006B7419">
        <w:rPr>
          <w:rFonts w:ascii="Times New Roman" w:hAnsi="Times New Roman" w:cs="Times New Roman"/>
          <w:sz w:val="24"/>
          <w:szCs w:val="24"/>
        </w:rPr>
        <w:t>/ správu Minist</w:t>
      </w:r>
      <w:r w:rsidR="00211C7D">
        <w:rPr>
          <w:rFonts w:ascii="Times New Roman" w:hAnsi="Times New Roman" w:cs="Times New Roman"/>
          <w:sz w:val="24"/>
          <w:szCs w:val="24"/>
        </w:rPr>
        <w:t>erstva školstva SR o schválení Š</w:t>
      </w:r>
      <w:r w:rsidR="006B7419" w:rsidRPr="006B7419">
        <w:rPr>
          <w:rFonts w:ascii="Times New Roman" w:hAnsi="Times New Roman" w:cs="Times New Roman"/>
          <w:sz w:val="24"/>
          <w:szCs w:val="24"/>
        </w:rPr>
        <w:t xml:space="preserve">kolského klubu a zaradením tým do siete škôl </w:t>
      </w:r>
      <w:r w:rsidR="00211C7D">
        <w:rPr>
          <w:rFonts w:ascii="Times New Roman" w:hAnsi="Times New Roman" w:cs="Times New Roman"/>
          <w:sz w:val="24"/>
          <w:szCs w:val="24"/>
        </w:rPr>
        <w:t xml:space="preserve">a školských zariadení </w:t>
      </w:r>
      <w:r w:rsidR="006B7419" w:rsidRPr="006B7419">
        <w:rPr>
          <w:rFonts w:ascii="Times New Roman" w:hAnsi="Times New Roman" w:cs="Times New Roman"/>
          <w:sz w:val="24"/>
          <w:szCs w:val="24"/>
        </w:rPr>
        <w:t>ako súčasť Základnej školy Toporec, Školská 7/6, Toporec. Platnosť od 01.09.2016</w:t>
      </w:r>
    </w:p>
    <w:p w:rsidR="0027626B" w:rsidRDefault="00801E8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626B">
        <w:rPr>
          <w:rFonts w:ascii="Times New Roman" w:hAnsi="Times New Roman" w:cs="Times New Roman"/>
          <w:sz w:val="24"/>
          <w:szCs w:val="24"/>
        </w:rPr>
        <w:t xml:space="preserve">/ Vnútornú smernicu  k zadávaniu zákaziek n a dodanie tovaru, na poskytovanie služieb  a uskutočnenie stavebných prác podľa zákona č. 343/2015 </w:t>
      </w:r>
      <w:proofErr w:type="spellStart"/>
      <w:r w:rsidR="0027626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7626B">
        <w:rPr>
          <w:rFonts w:ascii="Times New Roman" w:hAnsi="Times New Roman" w:cs="Times New Roman"/>
          <w:sz w:val="24"/>
          <w:szCs w:val="24"/>
        </w:rPr>
        <w:t xml:space="preserve">. o verejnom obstarávaní  a o zmene a doplnení niektorých zákonov v znení neskorších predpisov účinného od 18.04.2016.  </w:t>
      </w:r>
    </w:p>
    <w:p w:rsidR="009B2AB8" w:rsidRDefault="00801E8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2AB8">
        <w:rPr>
          <w:rFonts w:ascii="Times New Roman" w:hAnsi="Times New Roman" w:cs="Times New Roman"/>
          <w:sz w:val="24"/>
          <w:szCs w:val="24"/>
        </w:rPr>
        <w:t>/ správu o zistených nedostatkoch v MŠ- obec Regionálnym odborom vere</w:t>
      </w:r>
      <w:r w:rsidR="00D569B2">
        <w:rPr>
          <w:rFonts w:ascii="Times New Roman" w:hAnsi="Times New Roman" w:cs="Times New Roman"/>
          <w:sz w:val="24"/>
          <w:szCs w:val="24"/>
        </w:rPr>
        <w:t>jného zdravotníctva v Poprade : opotrebovaná, popraskaná maľovka stien, vrátane olejového náteru, opotrebovaný povrchový náter záhradného oplotenia, poškodené drevené oplotenie detského pie</w:t>
      </w:r>
      <w:r w:rsidR="00EE0162">
        <w:rPr>
          <w:rFonts w:ascii="Times New Roman" w:hAnsi="Times New Roman" w:cs="Times New Roman"/>
          <w:sz w:val="24"/>
          <w:szCs w:val="24"/>
        </w:rPr>
        <w:t>s</w:t>
      </w:r>
      <w:r w:rsidR="00D569B2">
        <w:rPr>
          <w:rFonts w:ascii="Times New Roman" w:hAnsi="Times New Roman" w:cs="Times New Roman"/>
          <w:sz w:val="24"/>
          <w:szCs w:val="24"/>
        </w:rPr>
        <w:t xml:space="preserve">koviska, miestami </w:t>
      </w:r>
      <w:r w:rsidR="00EE0162">
        <w:rPr>
          <w:rFonts w:ascii="Times New Roman" w:hAnsi="Times New Roman" w:cs="Times New Roman"/>
          <w:sz w:val="24"/>
          <w:szCs w:val="24"/>
        </w:rPr>
        <w:t xml:space="preserve">opotrebované odkvapové </w:t>
      </w:r>
      <w:proofErr w:type="spellStart"/>
      <w:r w:rsidR="00EE0162">
        <w:rPr>
          <w:rFonts w:ascii="Times New Roman" w:hAnsi="Times New Roman" w:cs="Times New Roman"/>
          <w:sz w:val="24"/>
          <w:szCs w:val="24"/>
        </w:rPr>
        <w:t>rýn</w:t>
      </w:r>
      <w:proofErr w:type="spellEnd"/>
      <w:r w:rsidR="00EE0162">
        <w:rPr>
          <w:rFonts w:ascii="Times New Roman" w:hAnsi="Times New Roman" w:cs="Times New Roman"/>
          <w:sz w:val="24"/>
          <w:szCs w:val="24"/>
        </w:rPr>
        <w:t xml:space="preserve"> ich vyčistenie.</w:t>
      </w:r>
    </w:p>
    <w:p w:rsidR="009B2AB8" w:rsidRDefault="00801E8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2AB8">
        <w:rPr>
          <w:rFonts w:ascii="Times New Roman" w:hAnsi="Times New Roman" w:cs="Times New Roman"/>
          <w:sz w:val="24"/>
          <w:szCs w:val="24"/>
        </w:rPr>
        <w:t>/ s</w:t>
      </w:r>
      <w:r w:rsidR="009B2AB8" w:rsidRPr="009B2AB8">
        <w:rPr>
          <w:rFonts w:ascii="Times New Roman" w:hAnsi="Times New Roman" w:cs="Times New Roman"/>
          <w:sz w:val="24"/>
          <w:szCs w:val="24"/>
        </w:rPr>
        <w:t xml:space="preserve">právu o podaní zámeru prostredníctvom  </w:t>
      </w:r>
      <w:r w:rsidR="009B2AB8" w:rsidRPr="009B2AB8">
        <w:rPr>
          <w:rFonts w:ascii="Times New Roman" w:hAnsi="Times New Roman" w:cs="Times New Roman"/>
          <w:color w:val="000000"/>
          <w:sz w:val="24"/>
          <w:szCs w:val="24"/>
        </w:rPr>
        <w:t xml:space="preserve">operačného programu IROP cez PSK  na </w:t>
      </w:r>
      <w:r w:rsidR="009B2AB8" w:rsidRPr="009B2AB8">
        <w:rPr>
          <w:rFonts w:ascii="Times New Roman" w:hAnsi="Times New Roman" w:cs="Times New Roman"/>
          <w:sz w:val="24"/>
          <w:szCs w:val="24"/>
        </w:rPr>
        <w:t>projekt  realizácie gravitačnej aj tlakovej kanalizácie a ČOV. Projekt prepojí jestvujúcu kanalizáci</w:t>
      </w:r>
      <w:r w:rsidR="009B2AB8">
        <w:rPr>
          <w:rFonts w:ascii="Times New Roman" w:hAnsi="Times New Roman" w:cs="Times New Roman"/>
          <w:sz w:val="24"/>
          <w:szCs w:val="24"/>
        </w:rPr>
        <w:t xml:space="preserve">u na ČOV, ktorá bude sfunkčnená. </w:t>
      </w:r>
    </w:p>
    <w:p w:rsidR="009B2AB8" w:rsidRPr="009B2AB8" w:rsidRDefault="00801E8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2AB8">
        <w:rPr>
          <w:rFonts w:ascii="Times New Roman" w:hAnsi="Times New Roman" w:cs="Times New Roman"/>
          <w:sz w:val="24"/>
          <w:szCs w:val="24"/>
        </w:rPr>
        <w:t xml:space="preserve">/ správu o plánovanom nákupe </w:t>
      </w:r>
      <w:proofErr w:type="spellStart"/>
      <w:r w:rsidR="009B2AB8">
        <w:rPr>
          <w:rFonts w:ascii="Times New Roman" w:hAnsi="Times New Roman" w:cs="Times New Roman"/>
          <w:sz w:val="24"/>
          <w:szCs w:val="24"/>
        </w:rPr>
        <w:t>krovinorezu</w:t>
      </w:r>
      <w:proofErr w:type="spellEnd"/>
      <w:r w:rsidR="009B2AB8">
        <w:rPr>
          <w:rFonts w:ascii="Times New Roman" w:hAnsi="Times New Roman" w:cs="Times New Roman"/>
          <w:sz w:val="24"/>
          <w:szCs w:val="24"/>
        </w:rPr>
        <w:t xml:space="preserve"> v cene okolo 700 €</w:t>
      </w:r>
    </w:p>
    <w:p w:rsidR="006B7419" w:rsidRPr="009B2AB8" w:rsidRDefault="00801E83" w:rsidP="006B7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B2AB8" w:rsidRPr="009B2AB8">
        <w:rPr>
          <w:rFonts w:ascii="Times New Roman" w:hAnsi="Times New Roman" w:cs="Times New Roman"/>
          <w:sz w:val="24"/>
          <w:szCs w:val="24"/>
        </w:rPr>
        <w:t>/ správu o objednaní výberového konania na rekonštrukciu MK na Hornej ulici v r. 2016 a k cintorínu na budúci rok.</w:t>
      </w:r>
      <w:r w:rsidR="009B2AB8" w:rsidRPr="009B2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573" w:rsidRDefault="00350573" w:rsidP="0035057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0573" w:rsidRPr="001A0639" w:rsidRDefault="00350573" w:rsidP="003505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6B7419" w:rsidRDefault="006B7419" w:rsidP="006B7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11/2016</w:t>
      </w:r>
    </w:p>
    <w:p w:rsidR="006B7419" w:rsidRDefault="006B7419" w:rsidP="006B7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19">
        <w:rPr>
          <w:rFonts w:ascii="Times New Roman" w:hAnsi="Times New Roman" w:cs="Times New Roman"/>
          <w:b/>
          <w:sz w:val="24"/>
          <w:szCs w:val="24"/>
        </w:rPr>
        <w:t>Súhlasí</w:t>
      </w:r>
    </w:p>
    <w:p w:rsidR="00801E83" w:rsidRPr="006B7419" w:rsidRDefault="00801E83" w:rsidP="006B7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EE0162">
        <w:rPr>
          <w:rFonts w:ascii="Times New Roman" w:hAnsi="Times New Roman" w:cs="Times New Roman"/>
          <w:sz w:val="24"/>
          <w:szCs w:val="24"/>
        </w:rPr>
        <w:t xml:space="preserve">s </w:t>
      </w:r>
      <w:r w:rsidRPr="006B7419">
        <w:rPr>
          <w:rFonts w:ascii="Times New Roman" w:hAnsi="Times New Roman" w:cs="Times New Roman"/>
          <w:sz w:val="24"/>
          <w:szCs w:val="24"/>
        </w:rPr>
        <w:t>uložení</w:t>
      </w:r>
      <w:r w:rsidR="00EE0162">
        <w:rPr>
          <w:rFonts w:ascii="Times New Roman" w:hAnsi="Times New Roman" w:cs="Times New Roman"/>
          <w:sz w:val="24"/>
          <w:szCs w:val="24"/>
        </w:rPr>
        <w:t>m</w:t>
      </w:r>
      <w:r w:rsidRPr="006B7419">
        <w:rPr>
          <w:rFonts w:ascii="Times New Roman" w:hAnsi="Times New Roman" w:cs="Times New Roman"/>
          <w:sz w:val="24"/>
          <w:szCs w:val="24"/>
        </w:rPr>
        <w:t xml:space="preserve"> kábla na verejné osvetlenie a rozhlasového kábla do výkopu v lokalite </w:t>
      </w:r>
      <w:proofErr w:type="spellStart"/>
      <w:r w:rsidRPr="006B7419">
        <w:rPr>
          <w:rFonts w:ascii="Times New Roman" w:hAnsi="Times New Roman" w:cs="Times New Roman"/>
          <w:sz w:val="24"/>
          <w:szCs w:val="24"/>
        </w:rPr>
        <w:t>Lengrub</w:t>
      </w:r>
      <w:proofErr w:type="spellEnd"/>
      <w:r w:rsidRPr="006B7419">
        <w:rPr>
          <w:rFonts w:ascii="Times New Roman" w:hAnsi="Times New Roman" w:cs="Times New Roman"/>
          <w:sz w:val="24"/>
          <w:szCs w:val="24"/>
        </w:rPr>
        <w:t>, kde sa plánuje IBV podľa predloženého nákresu</w:t>
      </w:r>
    </w:p>
    <w:p w:rsidR="006B7419" w:rsidRPr="006B7419" w:rsidRDefault="00801E8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6B7419" w:rsidRPr="006B7419">
        <w:rPr>
          <w:rFonts w:ascii="Times New Roman" w:hAnsi="Times New Roman" w:cs="Times New Roman"/>
          <w:sz w:val="24"/>
          <w:szCs w:val="24"/>
        </w:rPr>
        <w:t>/</w:t>
      </w:r>
      <w:r w:rsidR="0098452A">
        <w:rPr>
          <w:rFonts w:ascii="Times New Roman" w:hAnsi="Times New Roman" w:cs="Times New Roman"/>
          <w:sz w:val="24"/>
          <w:szCs w:val="24"/>
        </w:rPr>
        <w:t xml:space="preserve"> s</w:t>
      </w:r>
      <w:r w:rsidR="006B7419" w:rsidRPr="006B741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B7419" w:rsidRPr="006B7419">
        <w:rPr>
          <w:rFonts w:ascii="Times New Roman" w:hAnsi="Times New Roman" w:cs="Times New Roman"/>
          <w:sz w:val="24"/>
          <w:szCs w:val="24"/>
        </w:rPr>
        <w:t>započatím</w:t>
      </w:r>
      <w:proofErr w:type="spellEnd"/>
      <w:r w:rsidR="006B7419" w:rsidRPr="006B7419">
        <w:rPr>
          <w:rFonts w:ascii="Times New Roman" w:hAnsi="Times New Roman" w:cs="Times New Roman"/>
          <w:sz w:val="24"/>
          <w:szCs w:val="24"/>
        </w:rPr>
        <w:t xml:space="preserve"> vypracovania projektovej dokumentácie na uloženie kábla v súbehu s miestnou komunikáciou tak, aby nové káble na verejné osvetlenie a rozhlasové káble boli uložené v zemi, staré st</w:t>
      </w:r>
      <w:r w:rsidR="00AC3FFC">
        <w:rPr>
          <w:rFonts w:ascii="Times New Roman" w:hAnsi="Times New Roman" w:cs="Times New Roman"/>
          <w:sz w:val="24"/>
          <w:szCs w:val="24"/>
        </w:rPr>
        <w:t>ĺ</w:t>
      </w:r>
      <w:r w:rsidR="006B7419" w:rsidRPr="006B7419">
        <w:rPr>
          <w:rFonts w:ascii="Times New Roman" w:hAnsi="Times New Roman" w:cs="Times New Roman"/>
          <w:sz w:val="24"/>
          <w:szCs w:val="24"/>
        </w:rPr>
        <w:t>py budú nahradené novými,  plánovaná aktivita je v budúcom roku tak, aby sa pripravilo stavebné povolenia a veci potrebné k tejto výstavbe</w:t>
      </w:r>
    </w:p>
    <w:p w:rsidR="006B7419" w:rsidRDefault="00801E8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62">
        <w:rPr>
          <w:rFonts w:ascii="Times New Roman" w:hAnsi="Times New Roman" w:cs="Times New Roman"/>
          <w:sz w:val="24"/>
          <w:szCs w:val="24"/>
        </w:rPr>
        <w:t>c</w:t>
      </w:r>
      <w:r w:rsidR="0098452A" w:rsidRPr="00EE0162">
        <w:rPr>
          <w:rFonts w:ascii="Times New Roman" w:hAnsi="Times New Roman" w:cs="Times New Roman"/>
          <w:sz w:val="24"/>
          <w:szCs w:val="24"/>
        </w:rPr>
        <w:t xml:space="preserve">/  s </w:t>
      </w:r>
      <w:r w:rsidR="00211C7D" w:rsidRPr="00EE0162">
        <w:rPr>
          <w:rFonts w:ascii="Times New Roman" w:hAnsi="Times New Roman" w:cs="Times New Roman"/>
          <w:sz w:val="24"/>
          <w:szCs w:val="24"/>
        </w:rPr>
        <w:t xml:space="preserve">predloženým </w:t>
      </w:r>
      <w:r w:rsidR="006B7419" w:rsidRPr="00EE0162">
        <w:rPr>
          <w:rFonts w:ascii="Times New Roman" w:hAnsi="Times New Roman" w:cs="Times New Roman"/>
          <w:sz w:val="24"/>
          <w:szCs w:val="24"/>
        </w:rPr>
        <w:t> textom Kroniky r. 2015</w:t>
      </w:r>
      <w:r w:rsidR="004E4E44" w:rsidRPr="00EE0162">
        <w:rPr>
          <w:rFonts w:ascii="Times New Roman" w:hAnsi="Times New Roman" w:cs="Times New Roman"/>
          <w:sz w:val="24"/>
          <w:szCs w:val="24"/>
        </w:rPr>
        <w:t>.</w:t>
      </w:r>
      <w:r w:rsidR="006B7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2A" w:rsidRDefault="00350573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452A">
        <w:rPr>
          <w:rFonts w:ascii="Times New Roman" w:hAnsi="Times New Roman" w:cs="Times New Roman"/>
          <w:sz w:val="24"/>
          <w:szCs w:val="24"/>
        </w:rPr>
        <w:t>/ so zmenou</w:t>
      </w:r>
      <w:r w:rsidR="004D01D4">
        <w:rPr>
          <w:rFonts w:ascii="Times New Roman" w:hAnsi="Times New Roman" w:cs="Times New Roman"/>
          <w:sz w:val="24"/>
          <w:szCs w:val="24"/>
        </w:rPr>
        <w:t xml:space="preserve"> Uznesenia č. 8/2016 zo dňa 14.04.2016 , zmena je v účele </w:t>
      </w:r>
      <w:r w:rsidR="0098452A">
        <w:rPr>
          <w:rFonts w:ascii="Times New Roman" w:hAnsi="Times New Roman" w:cs="Times New Roman"/>
          <w:sz w:val="24"/>
          <w:szCs w:val="24"/>
        </w:rPr>
        <w:t xml:space="preserve"> použitia dotácie RKC Toporec a to nie rekonštrukcia orgánu, ale výmena okien</w:t>
      </w:r>
      <w:r w:rsidR="00EE0162">
        <w:rPr>
          <w:rFonts w:ascii="Times New Roman" w:hAnsi="Times New Roman" w:cs="Times New Roman"/>
          <w:sz w:val="24"/>
          <w:szCs w:val="24"/>
        </w:rPr>
        <w:t xml:space="preserve"> a balkónových dvier</w:t>
      </w:r>
      <w:r w:rsidR="004D01D4">
        <w:rPr>
          <w:rFonts w:ascii="Times New Roman" w:hAnsi="Times New Roman" w:cs="Times New Roman"/>
          <w:sz w:val="24"/>
          <w:szCs w:val="24"/>
        </w:rPr>
        <w:t xml:space="preserve">, oprava sociálnych zariadení </w:t>
      </w:r>
      <w:r w:rsidR="0098452A">
        <w:rPr>
          <w:rFonts w:ascii="Times New Roman" w:hAnsi="Times New Roman" w:cs="Times New Roman"/>
          <w:sz w:val="24"/>
          <w:szCs w:val="24"/>
        </w:rPr>
        <w:t xml:space="preserve">na farskom úrade. </w:t>
      </w:r>
    </w:p>
    <w:p w:rsidR="00350573" w:rsidRDefault="00350573" w:rsidP="0035057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0573" w:rsidRPr="001A0639" w:rsidRDefault="00350573" w:rsidP="003505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50573" w:rsidRDefault="00350573" w:rsidP="003505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C7D" w:rsidRPr="00211C7D" w:rsidRDefault="00211C7D" w:rsidP="006B7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C7D">
        <w:rPr>
          <w:rFonts w:ascii="Times New Roman" w:hAnsi="Times New Roman" w:cs="Times New Roman"/>
          <w:b/>
          <w:sz w:val="24"/>
          <w:szCs w:val="24"/>
        </w:rPr>
        <w:t xml:space="preserve">Uznesenie č. 12/2016 </w:t>
      </w:r>
    </w:p>
    <w:p w:rsidR="006B7419" w:rsidRPr="00211C7D" w:rsidRDefault="006B7419" w:rsidP="006B7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C7D">
        <w:rPr>
          <w:rFonts w:ascii="Times New Roman" w:hAnsi="Times New Roman" w:cs="Times New Roman"/>
          <w:b/>
          <w:sz w:val="24"/>
          <w:szCs w:val="24"/>
        </w:rPr>
        <w:t xml:space="preserve">Nesúhlasí </w:t>
      </w:r>
    </w:p>
    <w:p w:rsidR="006B7419" w:rsidRDefault="00211C7D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7419" w:rsidRPr="006B7419">
        <w:rPr>
          <w:rFonts w:ascii="Times New Roman" w:hAnsi="Times New Roman" w:cs="Times New Roman"/>
          <w:sz w:val="24"/>
          <w:szCs w:val="24"/>
        </w:rPr>
        <w:t>/ s prípravou PD na</w:t>
      </w:r>
      <w:r>
        <w:rPr>
          <w:rFonts w:ascii="Times New Roman" w:hAnsi="Times New Roman" w:cs="Times New Roman"/>
          <w:sz w:val="24"/>
          <w:szCs w:val="24"/>
        </w:rPr>
        <w:t xml:space="preserve"> likvidáciu divokých skládok </w:t>
      </w:r>
      <w:r w:rsidR="006B7419" w:rsidRPr="006B7419">
        <w:rPr>
          <w:rFonts w:ascii="Times New Roman" w:hAnsi="Times New Roman" w:cs="Times New Roman"/>
          <w:sz w:val="24"/>
          <w:szCs w:val="24"/>
        </w:rPr>
        <w:t xml:space="preserve"> </w:t>
      </w:r>
      <w:r w:rsidR="00AC3FFC">
        <w:rPr>
          <w:rFonts w:ascii="Times New Roman" w:hAnsi="Times New Roman" w:cs="Times New Roman"/>
          <w:sz w:val="24"/>
          <w:szCs w:val="24"/>
        </w:rPr>
        <w:t xml:space="preserve">na </w:t>
      </w:r>
      <w:r w:rsidR="006B7419" w:rsidRPr="006B7419">
        <w:rPr>
          <w:rFonts w:ascii="Times New Roman" w:hAnsi="Times New Roman" w:cs="Times New Roman"/>
          <w:sz w:val="24"/>
          <w:szCs w:val="24"/>
        </w:rPr>
        <w:t xml:space="preserve">základe ponuky firmou </w:t>
      </w:r>
      <w:r>
        <w:rPr>
          <w:rFonts w:ascii="Times New Roman" w:hAnsi="Times New Roman" w:cs="Times New Roman"/>
          <w:sz w:val="24"/>
          <w:szCs w:val="24"/>
        </w:rPr>
        <w:t xml:space="preserve">TOPTECH Košice </w:t>
      </w:r>
    </w:p>
    <w:p w:rsidR="00211C7D" w:rsidRDefault="00211C7D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 čiastkovou aktualizá</w:t>
      </w:r>
      <w:r w:rsidR="0098452A">
        <w:rPr>
          <w:rFonts w:ascii="Times New Roman" w:hAnsi="Times New Roman" w:cs="Times New Roman"/>
          <w:sz w:val="24"/>
          <w:szCs w:val="24"/>
        </w:rPr>
        <w:t>ciu Územného plánu obce Toporec</w:t>
      </w:r>
      <w:r>
        <w:rPr>
          <w:rFonts w:ascii="Times New Roman" w:hAnsi="Times New Roman" w:cs="Times New Roman"/>
          <w:sz w:val="24"/>
          <w:szCs w:val="24"/>
        </w:rPr>
        <w:t>, teda ani so žiadosťou Pompu Mateja  a Mgr. Pompu Richarda</w:t>
      </w:r>
    </w:p>
    <w:p w:rsidR="006112C7" w:rsidRPr="006B7419" w:rsidRDefault="006112C7" w:rsidP="006B7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so žiadosťou Detského domova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Duchnoviča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Medzilaborce</w:t>
      </w:r>
      <w:r w:rsidR="00AC3FFC">
        <w:rPr>
          <w:rFonts w:ascii="Times New Roman" w:hAnsi="Times New Roman" w:cs="Times New Roman"/>
          <w:sz w:val="24"/>
          <w:szCs w:val="24"/>
        </w:rPr>
        <w:t xml:space="preserve"> o tvorbu úspor na uľahčenie  a podporu osamostatnenia sa pre mal. deti </w:t>
      </w:r>
      <w:proofErr w:type="spellStart"/>
      <w:r w:rsidR="00AC3FFC">
        <w:rPr>
          <w:rFonts w:ascii="Times New Roman" w:hAnsi="Times New Roman" w:cs="Times New Roman"/>
          <w:sz w:val="24"/>
          <w:szCs w:val="24"/>
        </w:rPr>
        <w:t>Pompové</w:t>
      </w:r>
      <w:proofErr w:type="spellEnd"/>
      <w:r w:rsidR="00AC3FFC">
        <w:rPr>
          <w:rFonts w:ascii="Times New Roman" w:hAnsi="Times New Roman" w:cs="Times New Roman"/>
          <w:sz w:val="24"/>
          <w:szCs w:val="24"/>
        </w:rPr>
        <w:t xml:space="preserve"> : Martinu, </w:t>
      </w:r>
      <w:proofErr w:type="spellStart"/>
      <w:r w:rsidR="00AC3FF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C3FFC">
        <w:rPr>
          <w:rFonts w:ascii="Times New Roman" w:hAnsi="Times New Roman" w:cs="Times New Roman"/>
          <w:sz w:val="24"/>
          <w:szCs w:val="24"/>
        </w:rPr>
        <w:t xml:space="preserve">. 03.09.2001, Dušana , </w:t>
      </w:r>
      <w:proofErr w:type="spellStart"/>
      <w:r w:rsidR="00AC3FF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C3FFC">
        <w:rPr>
          <w:rFonts w:ascii="Times New Roman" w:hAnsi="Times New Roman" w:cs="Times New Roman"/>
          <w:sz w:val="24"/>
          <w:szCs w:val="24"/>
        </w:rPr>
        <w:t xml:space="preserve">. 26.08.2002 a Lucii, </w:t>
      </w:r>
      <w:proofErr w:type="spellStart"/>
      <w:r w:rsidR="00AC3FF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C3FFC">
        <w:rPr>
          <w:rFonts w:ascii="Times New Roman" w:hAnsi="Times New Roman" w:cs="Times New Roman"/>
          <w:sz w:val="24"/>
          <w:szCs w:val="24"/>
        </w:rPr>
        <w:t>. 18.05.2005.</w:t>
      </w:r>
      <w:r w:rsidR="009B2AB8">
        <w:rPr>
          <w:rFonts w:ascii="Times New Roman" w:hAnsi="Times New Roman" w:cs="Times New Roman"/>
          <w:sz w:val="24"/>
          <w:szCs w:val="24"/>
        </w:rPr>
        <w:t xml:space="preserve"> </w:t>
      </w:r>
      <w:r w:rsidR="009B2AB8" w:rsidRPr="00EE0162">
        <w:rPr>
          <w:rFonts w:ascii="Times New Roman" w:hAnsi="Times New Roman" w:cs="Times New Roman"/>
          <w:sz w:val="24"/>
          <w:szCs w:val="24"/>
        </w:rPr>
        <w:t>Dôvodom je nedostatok finančných prostriedkov.</w:t>
      </w:r>
      <w:r w:rsidR="009B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19" w:rsidRDefault="006B7419" w:rsidP="00A91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E44" w:rsidRDefault="004E4E44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573" w:rsidRDefault="00350573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Pr="004E675F" w:rsidRDefault="004E675F" w:rsidP="004E67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Zápisnica zo stretnutia poslancov  obecného zastupiteľstva dňa </w:t>
      </w:r>
      <w:r w:rsidR="004E4E44">
        <w:rPr>
          <w:rFonts w:ascii="Times New Roman" w:hAnsi="Times New Roman" w:cs="Times New Roman"/>
          <w:b/>
          <w:sz w:val="24"/>
          <w:szCs w:val="24"/>
        </w:rPr>
        <w:t>09</w:t>
      </w:r>
      <w:r w:rsidRPr="004E67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E4E44">
        <w:rPr>
          <w:rFonts w:ascii="Times New Roman" w:hAnsi="Times New Roman" w:cs="Times New Roman"/>
          <w:b/>
          <w:sz w:val="24"/>
          <w:szCs w:val="24"/>
        </w:rPr>
        <w:t>5</w:t>
      </w:r>
      <w:r w:rsidRPr="004E675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E675F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4E675F" w:rsidRPr="00400F69" w:rsidRDefault="004E675F" w:rsidP="004E675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69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4E675F" w:rsidRPr="00400F69" w:rsidRDefault="004E675F" w:rsidP="004E675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69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návrhovej komisie</w:t>
      </w:r>
    </w:p>
    <w:p w:rsidR="00400F69" w:rsidRPr="00400F69" w:rsidRDefault="00400F69" w:rsidP="00400F69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F69">
        <w:rPr>
          <w:rFonts w:ascii="Times New Roman" w:hAnsi="Times New Roman" w:cs="Times New Roman"/>
          <w:sz w:val="24"/>
          <w:szCs w:val="24"/>
        </w:rPr>
        <w:t xml:space="preserve">Odpredaj pozemku </w:t>
      </w:r>
      <w:proofErr w:type="spellStart"/>
      <w:r w:rsidRPr="00400F69">
        <w:rPr>
          <w:rFonts w:ascii="Times New Roman" w:hAnsi="Times New Roman" w:cs="Times New Roman"/>
          <w:sz w:val="24"/>
          <w:szCs w:val="24"/>
        </w:rPr>
        <w:t>Čupka</w:t>
      </w:r>
      <w:proofErr w:type="spellEnd"/>
      <w:r w:rsidRPr="0040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F69">
        <w:rPr>
          <w:rFonts w:ascii="Times New Roman" w:hAnsi="Times New Roman" w:cs="Times New Roman"/>
          <w:sz w:val="24"/>
          <w:szCs w:val="24"/>
        </w:rPr>
        <w:t>Čupková</w:t>
      </w:r>
      <w:proofErr w:type="spellEnd"/>
    </w:p>
    <w:p w:rsidR="00400F69" w:rsidRDefault="00400F69" w:rsidP="00400F69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400F69">
        <w:rPr>
          <w:color w:val="000000" w:themeColor="text1"/>
        </w:rPr>
        <w:t>Rozpočtové opatrenia</w:t>
      </w:r>
    </w:p>
    <w:p w:rsidR="0038406F" w:rsidRPr="00400F69" w:rsidRDefault="0038406F" w:rsidP="00400F69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Diskusia</w:t>
      </w:r>
    </w:p>
    <w:p w:rsidR="00400F69" w:rsidRPr="00400F69" w:rsidRDefault="00400F69" w:rsidP="00400F69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400F69">
        <w:rPr>
          <w:color w:val="000000" w:themeColor="text1"/>
        </w:rPr>
        <w:t>Rôzne / elektrifikácia osady, kábel, projekty, stavebné povolenie, divoké skládky/</w:t>
      </w:r>
    </w:p>
    <w:p w:rsidR="00400F69" w:rsidRDefault="00400F69" w:rsidP="00400F69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400F69">
        <w:rPr>
          <w:color w:val="000000" w:themeColor="text1"/>
        </w:rPr>
        <w:t>Rozš</w:t>
      </w:r>
      <w:r>
        <w:rPr>
          <w:color w:val="000000" w:themeColor="text1"/>
        </w:rPr>
        <w:t xml:space="preserve">írenie územného plánu – </w:t>
      </w:r>
      <w:proofErr w:type="spellStart"/>
      <w:r>
        <w:rPr>
          <w:color w:val="000000" w:themeColor="text1"/>
        </w:rPr>
        <w:t>Liptákovci</w:t>
      </w:r>
      <w:proofErr w:type="spellEnd"/>
      <w:r>
        <w:rPr>
          <w:color w:val="000000" w:themeColor="text1"/>
        </w:rPr>
        <w:t xml:space="preserve"> – žiadosť</w:t>
      </w:r>
    </w:p>
    <w:p w:rsidR="004E675F" w:rsidRPr="00400F69" w:rsidRDefault="00A919A5" w:rsidP="00400F6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69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</w:t>
      </w:r>
    </w:p>
    <w:p w:rsidR="004E675F" w:rsidRPr="004E675F" w:rsidRDefault="004E675F" w:rsidP="004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F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Zasadnutie začalo o </w:t>
      </w:r>
      <w:r w:rsidR="002E0762">
        <w:rPr>
          <w:rFonts w:ascii="Times New Roman" w:hAnsi="Times New Roman" w:cs="Times New Roman"/>
          <w:sz w:val="24"/>
          <w:szCs w:val="24"/>
        </w:rPr>
        <w:t>18</w:t>
      </w:r>
      <w:r w:rsidRPr="004E675F">
        <w:rPr>
          <w:rFonts w:ascii="Times New Roman" w:hAnsi="Times New Roman" w:cs="Times New Roman"/>
          <w:sz w:val="24"/>
          <w:szCs w:val="24"/>
        </w:rPr>
        <w:t>:</w:t>
      </w:r>
      <w:r w:rsidR="00A919A5">
        <w:rPr>
          <w:rFonts w:ascii="Times New Roman" w:hAnsi="Times New Roman" w:cs="Times New Roman"/>
          <w:sz w:val="24"/>
          <w:szCs w:val="24"/>
        </w:rPr>
        <w:t>1</w:t>
      </w:r>
      <w:r w:rsidRPr="004E675F">
        <w:rPr>
          <w:rFonts w:ascii="Times New Roman" w:hAnsi="Times New Roman" w:cs="Times New Roman"/>
          <w:sz w:val="24"/>
          <w:szCs w:val="24"/>
        </w:rPr>
        <w:t>0 hod.</w:t>
      </w:r>
    </w:p>
    <w:p w:rsidR="00A919A5" w:rsidRPr="00A919A5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Prítomní : </w:t>
      </w:r>
      <w:r w:rsidR="00A919A5">
        <w:rPr>
          <w:rFonts w:ascii="Times New Roman" w:hAnsi="Times New Roman" w:cs="Times New Roman"/>
          <w:sz w:val="24"/>
          <w:szCs w:val="24"/>
        </w:rPr>
        <w:t xml:space="preserve"> </w:t>
      </w:r>
      <w:r w:rsidRPr="004E675F">
        <w:rPr>
          <w:rFonts w:ascii="Times New Roman" w:hAnsi="Times New Roman" w:cs="Times New Roman"/>
          <w:sz w:val="24"/>
          <w:szCs w:val="24"/>
        </w:rPr>
        <w:t xml:space="preserve">Bc.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</w:t>
      </w:r>
      <w:r w:rsidR="00827BEE" w:rsidRPr="004E675F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827BEE" w:rsidRPr="004E675F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827BEE" w:rsidRPr="004E675F">
        <w:rPr>
          <w:rFonts w:ascii="Times New Roman" w:hAnsi="Times New Roman" w:cs="Times New Roman"/>
          <w:sz w:val="24"/>
          <w:szCs w:val="24"/>
        </w:rPr>
        <w:t>, Michal Šoltés</w:t>
      </w:r>
      <w:r w:rsidR="00A919A5">
        <w:t xml:space="preserve">, </w:t>
      </w:r>
      <w:r w:rsidR="00A919A5">
        <w:rPr>
          <w:rFonts w:ascii="Times New Roman" w:hAnsi="Times New Roman" w:cs="Times New Roman"/>
          <w:sz w:val="24"/>
          <w:szCs w:val="24"/>
        </w:rPr>
        <w:t xml:space="preserve">Mgr. Jozef </w:t>
      </w:r>
      <w:proofErr w:type="spellStart"/>
      <w:r w:rsidR="00A919A5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 w:rsidR="002E0762">
        <w:rPr>
          <w:rFonts w:ascii="Times New Roman" w:hAnsi="Times New Roman" w:cs="Times New Roman"/>
          <w:sz w:val="24"/>
          <w:szCs w:val="24"/>
        </w:rPr>
        <w:t xml:space="preserve">, </w:t>
      </w:r>
      <w:r w:rsidR="002E0762" w:rsidRPr="00D82136">
        <w:rPr>
          <w:rFonts w:ascii="Times New Roman" w:hAnsi="Times New Roman" w:cs="Times New Roman"/>
          <w:sz w:val="24"/>
          <w:szCs w:val="24"/>
        </w:rPr>
        <w:t>Jozef Pompa</w:t>
      </w:r>
    </w:p>
    <w:p w:rsid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2E0762" w:rsidRPr="004E675F" w:rsidRDefault="002E0762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Vladimír Matfiak- hlavný kontrolór </w:t>
      </w:r>
    </w:p>
    <w:p w:rsidR="00827BEE" w:rsidRPr="004E675F" w:rsidRDefault="002E0762" w:rsidP="00827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Neprítomní : ospravedlnení : </w:t>
      </w:r>
      <w:r w:rsidR="00827BEE" w:rsidRPr="00D82136">
        <w:rPr>
          <w:rFonts w:ascii="Times New Roman" w:hAnsi="Times New Roman" w:cs="Times New Roman"/>
          <w:sz w:val="24"/>
          <w:szCs w:val="24"/>
        </w:rPr>
        <w:t xml:space="preserve">  Ing. Miroslav Pompa, Mgr.</w:t>
      </w:r>
      <w:r w:rsidR="00CE32E4" w:rsidRPr="00D82136">
        <w:rPr>
          <w:rFonts w:ascii="Times New Roman" w:hAnsi="Times New Roman" w:cs="Times New Roman"/>
          <w:sz w:val="24"/>
          <w:szCs w:val="24"/>
        </w:rPr>
        <w:t xml:space="preserve"> Albín Fischer</w:t>
      </w:r>
      <w:r w:rsidR="00CE32E4">
        <w:rPr>
          <w:rFonts w:ascii="Times New Roman" w:hAnsi="Times New Roman" w:cs="Times New Roman"/>
          <w:sz w:val="24"/>
          <w:szCs w:val="24"/>
        </w:rPr>
        <w:t xml:space="preserve"> </w:t>
      </w:r>
      <w:r w:rsidR="0082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Neprítomní neospravedlnený </w:t>
      </w:r>
      <w:r w:rsidR="00827BEE">
        <w:rPr>
          <w:rFonts w:ascii="Times New Roman" w:hAnsi="Times New Roman" w:cs="Times New Roman"/>
          <w:sz w:val="24"/>
          <w:szCs w:val="24"/>
        </w:rPr>
        <w:t xml:space="preserve">: - </w:t>
      </w:r>
    </w:p>
    <w:p w:rsidR="00CE32E4" w:rsidRDefault="00CE32E4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5F" w:rsidRPr="00D82136" w:rsidRDefault="00827BEE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6">
        <w:rPr>
          <w:rFonts w:ascii="Times New Roman" w:hAnsi="Times New Roman" w:cs="Times New Roman"/>
          <w:sz w:val="24"/>
          <w:szCs w:val="24"/>
        </w:rPr>
        <w:t xml:space="preserve">Návrhová komisia: predseda: </w:t>
      </w:r>
      <w:r w:rsidR="002E0762">
        <w:rPr>
          <w:rFonts w:ascii="Times New Roman" w:hAnsi="Times New Roman" w:cs="Times New Roman"/>
          <w:sz w:val="24"/>
          <w:szCs w:val="24"/>
        </w:rPr>
        <w:t xml:space="preserve">Jozef Pompa </w:t>
      </w:r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7BEE" w:rsidRPr="00D82136">
        <w:rPr>
          <w:rFonts w:ascii="Times New Roman" w:hAnsi="Times New Roman" w:cs="Times New Roman"/>
          <w:sz w:val="24"/>
          <w:szCs w:val="24"/>
        </w:rPr>
        <w:t>členovia</w:t>
      </w:r>
      <w:r w:rsidRPr="00D82136">
        <w:rPr>
          <w:rFonts w:ascii="Times New Roman" w:hAnsi="Times New Roman" w:cs="Times New Roman"/>
          <w:sz w:val="24"/>
          <w:szCs w:val="24"/>
        </w:rPr>
        <w:t xml:space="preserve"> : </w:t>
      </w:r>
      <w:r w:rsidR="002E0762">
        <w:rPr>
          <w:rFonts w:ascii="Times New Roman" w:hAnsi="Times New Roman" w:cs="Times New Roman"/>
          <w:sz w:val="24"/>
          <w:szCs w:val="24"/>
        </w:rPr>
        <w:t xml:space="preserve">Michal Šoltés, Vladimír </w:t>
      </w:r>
      <w:proofErr w:type="spellStart"/>
      <w:r w:rsidR="002E0762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2E0762">
        <w:rPr>
          <w:rFonts w:ascii="Times New Roman" w:hAnsi="Times New Roman" w:cs="Times New Roman"/>
          <w:sz w:val="24"/>
          <w:szCs w:val="24"/>
        </w:rPr>
        <w:t xml:space="preserve"> </w:t>
      </w:r>
      <w:r w:rsidR="00827BEE">
        <w:rPr>
          <w:rFonts w:ascii="Times New Roman" w:hAnsi="Times New Roman" w:cs="Times New Roman"/>
          <w:sz w:val="24"/>
          <w:szCs w:val="24"/>
        </w:rPr>
        <w:t xml:space="preserve"> </w:t>
      </w:r>
      <w:r w:rsidRPr="004E67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7BEE" w:rsidRPr="004E675F" w:rsidRDefault="004E675F" w:rsidP="002E07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="00A827A0" w:rsidRPr="004E675F">
        <w:rPr>
          <w:rFonts w:ascii="Times New Roman" w:hAnsi="Times New Roman" w:cs="Times New Roman"/>
          <w:sz w:val="24"/>
          <w:szCs w:val="24"/>
        </w:rPr>
        <w:t xml:space="preserve"> </w:t>
      </w:r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>, Michal Šoltés</w:t>
      </w:r>
      <w:r w:rsidR="00A827A0" w:rsidRPr="00A827A0">
        <w:rPr>
          <w:b/>
        </w:rPr>
        <w:t xml:space="preserve">, </w:t>
      </w:r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="002E0762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8C00A0" w:rsidRDefault="008C00A0" w:rsidP="00A82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0A0" w:rsidRDefault="004E675F" w:rsidP="002E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E">
        <w:rPr>
          <w:rFonts w:ascii="Times New Roman" w:hAnsi="Times New Roman" w:cs="Times New Roman"/>
          <w:sz w:val="24"/>
          <w:szCs w:val="24"/>
        </w:rPr>
        <w:t xml:space="preserve">V úvode starosta prítomných privítal a predniesol program </w:t>
      </w:r>
      <w:r w:rsidR="002E0762">
        <w:rPr>
          <w:rFonts w:ascii="Times New Roman" w:hAnsi="Times New Roman" w:cs="Times New Roman"/>
          <w:sz w:val="24"/>
          <w:szCs w:val="24"/>
        </w:rPr>
        <w:t>zasadnutia a </w:t>
      </w:r>
      <w:r w:rsidR="002E0762" w:rsidRPr="00400F69">
        <w:rPr>
          <w:rFonts w:ascii="Times New Roman" w:hAnsi="Times New Roman" w:cs="Times New Roman"/>
          <w:sz w:val="24"/>
          <w:szCs w:val="24"/>
        </w:rPr>
        <w:t>doplnil  nasledovné</w:t>
      </w:r>
      <w:r w:rsidR="002E0762">
        <w:rPr>
          <w:rFonts w:ascii="Times New Roman" w:hAnsi="Times New Roman" w:cs="Times New Roman"/>
          <w:sz w:val="24"/>
          <w:szCs w:val="24"/>
        </w:rPr>
        <w:t xml:space="preserve">  body do programu :</w:t>
      </w:r>
    </w:p>
    <w:p w:rsidR="00400F69" w:rsidRDefault="00400F69" w:rsidP="00400F69">
      <w:pPr>
        <w:pStyle w:val="Odstavecseseznamem"/>
        <w:numPr>
          <w:ilvl w:val="0"/>
          <w:numId w:val="18"/>
        </w:numPr>
        <w:spacing w:line="360" w:lineRule="auto"/>
        <w:rPr>
          <w:color w:val="FF0000"/>
        </w:rPr>
      </w:pPr>
      <w:r w:rsidRPr="00400F69">
        <w:rPr>
          <w:color w:val="FF0000"/>
        </w:rPr>
        <w:t>Návrh textu kroniky za rok 2015</w:t>
      </w:r>
    </w:p>
    <w:p w:rsidR="00400F69" w:rsidRDefault="00400F69" w:rsidP="00400F69">
      <w:pPr>
        <w:pStyle w:val="Odstavecseseznamem"/>
        <w:numPr>
          <w:ilvl w:val="0"/>
          <w:numId w:val="18"/>
        </w:numPr>
        <w:spacing w:line="360" w:lineRule="auto"/>
        <w:rPr>
          <w:color w:val="FF0000"/>
        </w:rPr>
      </w:pPr>
      <w:r>
        <w:rPr>
          <w:color w:val="FF0000"/>
        </w:rPr>
        <w:t>Smernica o verejnom obstarávaní</w:t>
      </w:r>
    </w:p>
    <w:p w:rsidR="00400F69" w:rsidRPr="00400F69" w:rsidRDefault="00400F69" w:rsidP="00400F69">
      <w:pPr>
        <w:pStyle w:val="Odstavecseseznamem"/>
        <w:spacing w:line="360" w:lineRule="auto"/>
        <w:rPr>
          <w:color w:val="FF0000"/>
        </w:rPr>
      </w:pPr>
    </w:p>
    <w:p w:rsidR="002E0762" w:rsidRPr="004E675F" w:rsidRDefault="002E0762" w:rsidP="002E07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  <w:r w:rsidRPr="00A827A0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>, Michal Šoltés</w:t>
      </w:r>
      <w:r w:rsidRPr="00A827A0">
        <w:rPr>
          <w:b/>
        </w:rPr>
        <w:t xml:space="preserve">, </w:t>
      </w:r>
      <w:r w:rsidRPr="00A827A0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2E0762" w:rsidRPr="002A30AD" w:rsidRDefault="002E0762" w:rsidP="002A30AD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2A30AD">
        <w:lastRenderedPageBreak/>
        <w:t xml:space="preserve">Prvým bodom programu bola žiadosť manželov </w:t>
      </w:r>
      <w:proofErr w:type="spellStart"/>
      <w:r w:rsidRPr="002A30AD">
        <w:t>Čupkových</w:t>
      </w:r>
      <w:proofErr w:type="spellEnd"/>
      <w:r w:rsidRPr="002A30AD">
        <w:t xml:space="preserve"> o dopredaj pozemku podľa upraveného GP č. 34629114-17/16 vyhotoveného geodetom Antonom </w:t>
      </w:r>
      <w:proofErr w:type="spellStart"/>
      <w:r w:rsidRPr="002A30AD">
        <w:t>Vráblom</w:t>
      </w:r>
      <w:proofErr w:type="spellEnd"/>
      <w:r w:rsidRPr="002A30AD">
        <w:t xml:space="preserve">. Ide o výmeru 313 m2, ktorá je v GP označená ako diel 1, tento diel je odčlenený  od pozemku KN-C </w:t>
      </w:r>
      <w:proofErr w:type="spellStart"/>
      <w:r w:rsidRPr="002A30AD">
        <w:t>parc</w:t>
      </w:r>
      <w:proofErr w:type="spellEnd"/>
      <w:r w:rsidRPr="002A30AD">
        <w:t>. Č. 4902/1 – ostatná plocha, v </w:t>
      </w:r>
      <w:proofErr w:type="spellStart"/>
      <w:r w:rsidRPr="002A30AD">
        <w:t>k.ú</w:t>
      </w:r>
      <w:proofErr w:type="spellEnd"/>
      <w:r w:rsidRPr="002A30AD">
        <w:t>. obce Toporec, ktorého podľa zápisu je Obec Toporec a je zapísaná na LV č. 248. Pozemok odpredať meter štvorcový za cenu 1,70 €  poplatky hradia  kupujúci.</w:t>
      </w:r>
    </w:p>
    <w:p w:rsidR="008C00A0" w:rsidRPr="002E0762" w:rsidRDefault="008C00A0" w:rsidP="002A30AD">
      <w:pPr>
        <w:pStyle w:val="Odstavecseseznamem"/>
        <w:spacing w:line="360" w:lineRule="auto"/>
        <w:ind w:left="1200"/>
      </w:pPr>
    </w:p>
    <w:p w:rsidR="002E0762" w:rsidRPr="004E675F" w:rsidRDefault="002E0762" w:rsidP="002E07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  <w:r w:rsidRPr="00A827A0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A827A0">
        <w:rPr>
          <w:rFonts w:ascii="Times New Roman" w:hAnsi="Times New Roman" w:cs="Times New Roman"/>
          <w:b/>
          <w:sz w:val="24"/>
          <w:szCs w:val="24"/>
        </w:rPr>
        <w:t>, Michal Šoltés</w:t>
      </w:r>
      <w:r w:rsidRPr="00A827A0">
        <w:rPr>
          <w:b/>
        </w:rPr>
        <w:t xml:space="preserve">, </w:t>
      </w:r>
      <w:r w:rsidRPr="00A827A0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A827A0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4E675F" w:rsidRPr="008C00A0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E7" w:rsidRDefault="002A30AD" w:rsidP="00E55365">
      <w:pPr>
        <w:pStyle w:val="Odstavecseseznamem"/>
        <w:numPr>
          <w:ilvl w:val="0"/>
          <w:numId w:val="11"/>
        </w:numPr>
        <w:spacing w:line="360" w:lineRule="auto"/>
        <w:ind w:left="480"/>
        <w:jc w:val="both"/>
      </w:pPr>
      <w:r>
        <w:t xml:space="preserve">Ďalší bod programu bol návrh rozpočtových opatrení od januára 2016 v zmysle Prílohy č. 1 zápisnice.  Proti tomuto návrhu neboli vznesené žiadne námietky zo strany prítomných poslancov. </w:t>
      </w:r>
      <w:r w:rsidR="00065219">
        <w:t xml:space="preserve"> Kontrolór obce p. Matfiak informoval prítomných, že je potrebné viesť evidenciu rozpočtových opatrení. </w:t>
      </w:r>
    </w:p>
    <w:tbl>
      <w:tblPr>
        <w:tblW w:w="9962" w:type="dxa"/>
        <w:tblCellMar>
          <w:left w:w="70" w:type="dxa"/>
          <w:right w:w="70" w:type="dxa"/>
        </w:tblCellMar>
        <w:tblLook w:val="04A0"/>
      </w:tblPr>
      <w:tblGrid>
        <w:gridCol w:w="430"/>
        <w:gridCol w:w="1975"/>
        <w:gridCol w:w="431"/>
        <w:gridCol w:w="2122"/>
        <w:gridCol w:w="431"/>
        <w:gridCol w:w="738"/>
        <w:gridCol w:w="431"/>
        <w:gridCol w:w="2402"/>
        <w:gridCol w:w="431"/>
        <w:gridCol w:w="571"/>
      </w:tblGrid>
      <w:tr w:rsidR="0062106B" w:rsidTr="006C10BB">
        <w:trPr>
          <w:trHeight w:val="255"/>
        </w:trPr>
        <w:tc>
          <w:tcPr>
            <w:tcW w:w="2307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  <w:r>
              <w:rPr>
                <w:rFonts w:eastAsiaTheme="minorEastAsia" w:cs="Times New Roman"/>
                <w:lang w:eastAsia="sk-SK"/>
              </w:rPr>
              <w:t>Príjmy</w:t>
            </w:r>
          </w:p>
        </w:tc>
        <w:tc>
          <w:tcPr>
            <w:tcW w:w="2447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2106B" w:rsidTr="006C10BB">
        <w:trPr>
          <w:gridAfter w:val="1"/>
          <w:wAfter w:w="547" w:type="dxa"/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P. č.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Schválený rozpočet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Presun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Rozpočet po rozpočtovom opatrení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Dotácia MF SR - telocvičňa, </w:t>
            </w:r>
          </w:p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Dotácia DHZ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699 260,00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100 700,00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799 960,00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Podielové dane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478 451,00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2 123,00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480 574,00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  <w:t>1 177 711,00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  <w:t>102 823,00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sk-SK"/>
              </w:rPr>
              <w:t>1 280 534,00</w:t>
            </w:r>
          </w:p>
        </w:tc>
      </w:tr>
      <w:tr w:rsidR="0062106B" w:rsidTr="006C10BB">
        <w:trPr>
          <w:trHeight w:val="255"/>
        </w:trPr>
        <w:tc>
          <w:tcPr>
            <w:tcW w:w="2307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  <w:r>
              <w:rPr>
                <w:rFonts w:eastAsiaTheme="minorEastAsia" w:cs="Times New Roman"/>
                <w:lang w:eastAsia="sk-SK"/>
              </w:rPr>
              <w:t>Výdavky</w:t>
            </w:r>
          </w:p>
        </w:tc>
        <w:tc>
          <w:tcPr>
            <w:tcW w:w="2447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P. č.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Schválený rozpočet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Presun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Rozpočet po rozpočtovom opatrení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Zdravotné stredisko-materiál + vybavenie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703,00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703,00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Zdravotné stredisko-maľba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1 420,00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1 420,00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DHZ - použitie dotácie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700,00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950,00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Telocvičňa - použitie dotácie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100 000,00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200 000,00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100 250,00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102 823,00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06B" w:rsidRDefault="0062106B" w:rsidP="006C10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203 073,00</w:t>
            </w:r>
          </w:p>
        </w:tc>
      </w:tr>
      <w:tr w:rsidR="0062106B" w:rsidTr="006C10BB">
        <w:trPr>
          <w:gridAfter w:val="1"/>
          <w:wAfter w:w="547" w:type="dxa"/>
          <w:trHeight w:val="255"/>
        </w:trPr>
        <w:tc>
          <w:tcPr>
            <w:tcW w:w="413" w:type="dxa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307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447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  <w:tc>
          <w:tcPr>
            <w:tcW w:w="2715" w:type="dxa"/>
            <w:gridSpan w:val="2"/>
            <w:noWrap/>
            <w:vAlign w:val="bottom"/>
            <w:hideMark/>
          </w:tcPr>
          <w:p w:rsidR="0062106B" w:rsidRDefault="0062106B" w:rsidP="006C10BB">
            <w:pPr>
              <w:spacing w:after="0"/>
              <w:rPr>
                <w:rFonts w:eastAsiaTheme="minorEastAsia" w:cs="Times New Roman"/>
                <w:lang w:eastAsia="sk-SK"/>
              </w:rPr>
            </w:pPr>
          </w:p>
        </w:tc>
      </w:tr>
    </w:tbl>
    <w:p w:rsidR="002A30AD" w:rsidRPr="002A30AD" w:rsidRDefault="002A30AD" w:rsidP="002A3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0AD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2A30AD">
        <w:rPr>
          <w:rFonts w:ascii="Times New Roman" w:hAnsi="Times New Roman" w:cs="Times New Roman"/>
          <w:sz w:val="24"/>
          <w:szCs w:val="24"/>
        </w:rPr>
        <w:t xml:space="preserve"> </w:t>
      </w:r>
      <w:r w:rsidRPr="002A30AD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2A30AD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A30AD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2A30A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30AD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A30A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30AD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2A30AD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2A30AD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2A30AD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2A30AD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2A30AD" w:rsidRDefault="002A30AD" w:rsidP="002A30AD">
      <w:pPr>
        <w:pStyle w:val="Odstavecseseznamem"/>
        <w:spacing w:line="360" w:lineRule="auto"/>
        <w:ind w:left="480"/>
        <w:jc w:val="both"/>
      </w:pPr>
    </w:p>
    <w:p w:rsidR="002A30AD" w:rsidRDefault="00D60E5D" w:rsidP="00D60E5D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Nasledujúcim bodom rokovania bolo prednesenie textu Kroniky 2015, tento prezentoval starosta ako kronikár. Uviedol, že písanie kroniky sa stalo jeho záľubou a koníčkom. </w:t>
      </w:r>
    </w:p>
    <w:p w:rsidR="00D60E5D" w:rsidRDefault="00D60E5D" w:rsidP="00D60E5D">
      <w:pPr>
        <w:jc w:val="both"/>
      </w:pPr>
    </w:p>
    <w:p w:rsidR="00D60E5D" w:rsidRPr="00D60E5D" w:rsidRDefault="00D60E5D" w:rsidP="00D60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Tento návrh odhlasovali všetci prítomní  poslanci : </w:t>
      </w:r>
      <w:r w:rsidRPr="00D60E5D">
        <w:rPr>
          <w:rFonts w:ascii="Times New Roman" w:hAnsi="Times New Roman" w:cs="Times New Roman"/>
          <w:sz w:val="24"/>
          <w:szCs w:val="24"/>
        </w:rPr>
        <w:t xml:space="preserve"> </w:t>
      </w:r>
      <w:r w:rsidRPr="00D60E5D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2A30AD" w:rsidRDefault="002A30AD" w:rsidP="002A30AD">
      <w:pPr>
        <w:pStyle w:val="Odstavecseseznamem"/>
        <w:spacing w:line="360" w:lineRule="auto"/>
        <w:ind w:left="480"/>
        <w:jc w:val="both"/>
      </w:pPr>
    </w:p>
    <w:p w:rsidR="00065219" w:rsidRPr="00065219" w:rsidRDefault="00D60E5D" w:rsidP="00722453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065219">
        <w:t xml:space="preserve">V bode rôzne starosta informoval prítomných, že </w:t>
      </w:r>
      <w:r w:rsidR="0062106B">
        <w:t xml:space="preserve">bude potrebné </w:t>
      </w:r>
      <w:r w:rsidRPr="00065219">
        <w:t xml:space="preserve"> zrealizova</w:t>
      </w:r>
      <w:r w:rsidR="0062106B">
        <w:t>ť</w:t>
      </w:r>
      <w:r w:rsidRPr="00065219">
        <w:t xml:space="preserve">  uloženie kábla na verejné osvetlenie a rozhlasového kábla do výkopu v lokalite </w:t>
      </w:r>
      <w:proofErr w:type="spellStart"/>
      <w:r w:rsidRPr="00065219">
        <w:t>Lengrub</w:t>
      </w:r>
      <w:proofErr w:type="spellEnd"/>
      <w:r w:rsidRPr="00065219">
        <w:t xml:space="preserve">, kde sa plánuje IBV podľa predloženého nákresu. </w:t>
      </w:r>
      <w:r w:rsidR="00065219" w:rsidRPr="00065219">
        <w:t>Navrh</w:t>
      </w:r>
      <w:r w:rsidR="00065219">
        <w:t xml:space="preserve">ol </w:t>
      </w:r>
      <w:r w:rsidR="00065219" w:rsidRPr="00065219">
        <w:t>zač</w:t>
      </w:r>
      <w:r w:rsidR="00065219">
        <w:t>atie</w:t>
      </w:r>
      <w:r w:rsidR="00065219" w:rsidRPr="00065219">
        <w:t> </w:t>
      </w:r>
      <w:r w:rsidR="00065219">
        <w:t xml:space="preserve"> </w:t>
      </w:r>
      <w:r w:rsidR="00065219" w:rsidRPr="00065219">
        <w:t>vypracova</w:t>
      </w:r>
      <w:r w:rsidR="00065219">
        <w:t>nia</w:t>
      </w:r>
      <w:r w:rsidR="00065219" w:rsidRPr="00065219">
        <w:t xml:space="preserve">  projektovej dokumentácie na uloženie kábla v súbehu s miestnou komunikáciou tak, aby nové káble na verejné osvetlenie a rozhlasové káble boli uložené v zemi, staré stĺpy boli nahradené novými,  plánovaná aktivita je v budúcom roku tak, aby sa pripravilo stavebné povolenia a veci potrebné k tejto výstavbe</w:t>
      </w:r>
      <w:r w:rsidR="00065219">
        <w:t>.</w:t>
      </w:r>
    </w:p>
    <w:p w:rsidR="00D60E5D" w:rsidRPr="00D60E5D" w:rsidRDefault="00D60E5D" w:rsidP="00065219">
      <w:pPr>
        <w:pStyle w:val="Odstavecseseznamem"/>
        <w:ind w:left="840"/>
        <w:jc w:val="both"/>
        <w:rPr>
          <w:b/>
        </w:rPr>
      </w:pPr>
    </w:p>
    <w:p w:rsidR="00722453" w:rsidRPr="00D60E5D" w:rsidRDefault="00722453" w:rsidP="00722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5D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D60E5D">
        <w:rPr>
          <w:rFonts w:ascii="Times New Roman" w:hAnsi="Times New Roman" w:cs="Times New Roman"/>
          <w:sz w:val="24"/>
          <w:szCs w:val="24"/>
        </w:rPr>
        <w:t xml:space="preserve"> </w:t>
      </w:r>
      <w:r w:rsidRPr="00D60E5D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2A30AD" w:rsidRDefault="00722453" w:rsidP="00722453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Na zasadnutie OZ sa dostavili aj Pompa Matej a Adriána </w:t>
      </w:r>
      <w:proofErr w:type="spellStart"/>
      <w:r>
        <w:t>Pompová</w:t>
      </w:r>
      <w:proofErr w:type="spellEnd"/>
      <w:r>
        <w:t xml:space="preserve"> (</w:t>
      </w:r>
      <w:proofErr w:type="spellStart"/>
      <w:r>
        <w:t>Liptákovci</w:t>
      </w:r>
      <w:proofErr w:type="spellEnd"/>
      <w:r>
        <w:t>), nakoľko Matej Pompa a brat Mgr. Richard Pompa si dňa 19.04.2016 podali žiadosť o čiastkové doplnenie parcely do Územného plánu obce  podľa zákona č. 50/1976 Zb. Starosta predmetnú žiadosť citoval v plnom rozsahu. Menovaní argumentovali, že odkúpili parcelu v celosti o rozmere 4 000 m</w:t>
      </w:r>
      <w:r>
        <w:rPr>
          <w:vertAlign w:val="superscript"/>
        </w:rPr>
        <w:t>2</w:t>
      </w:r>
      <w:r>
        <w:t xml:space="preserve">.  Starosta uviedol, že predmetná parcela bola GP rozdelená na 4 parcely a časť týchto parciel presahuje cez hranicu určenú v ÚP na zástavbu. Poslanci Mgr. </w:t>
      </w:r>
      <w:proofErr w:type="spellStart"/>
      <w:r>
        <w:t>Svitana</w:t>
      </w:r>
      <w:proofErr w:type="spellEnd"/>
      <w:r>
        <w:t xml:space="preserve"> Miroslav a </w:t>
      </w:r>
      <w:proofErr w:type="spellStart"/>
      <w:r>
        <w:t>Svitana</w:t>
      </w:r>
      <w:proofErr w:type="spellEnd"/>
      <w:r>
        <w:t xml:space="preserve"> Peter odporučili </w:t>
      </w:r>
      <w:proofErr w:type="spellStart"/>
      <w:r>
        <w:t>Pompovi</w:t>
      </w:r>
      <w:proofErr w:type="spellEnd"/>
      <w:r>
        <w:t xml:space="preserve"> Matejovi, aby si kúpili stavebné pozemky pri osade, kde je plánovaná výstavba a je tam 41 parciel určených na výstavbu rodinných domov.  </w:t>
      </w:r>
      <w:proofErr w:type="spellStart"/>
      <w:r>
        <w:t>Žiadateľia</w:t>
      </w:r>
      <w:proofErr w:type="spellEnd"/>
      <w:r>
        <w:t xml:space="preserve"> však argumentovali, že si kúpili pozemok v obci, nakoľko pochádzajú z obce.  Poslanci uviedli, že túto situáciu vnímajú , ako veľmi zložitú a vidia veľký problém v riešení tohto problému. Ž</w:t>
      </w:r>
      <w:r w:rsidR="00C63125">
        <w:t>iadatel</w:t>
      </w:r>
      <w:r>
        <w:t xml:space="preserve">ia taktiež uviedli, že by si k pozemkom vybudovali aj prístupové cesty a prípojky , tak ako je to zakreslené v GP.  </w:t>
      </w:r>
      <w:r w:rsidR="00C63125">
        <w:t xml:space="preserve">Tento prísľub , by dali aj písomne. V závere diskusie k tomuto bodu starosta poďakoval žiadateľom, že sa dostavili a oznámil im, že rozhodnutie OZ im bude doručené písomne. </w:t>
      </w:r>
    </w:p>
    <w:p w:rsidR="00C63125" w:rsidRPr="00D60E5D" w:rsidRDefault="00C63125" w:rsidP="00C63125">
      <w:pPr>
        <w:pStyle w:val="Odstavecseseznamem"/>
        <w:ind w:left="840"/>
        <w:jc w:val="both"/>
        <w:rPr>
          <w:b/>
        </w:rPr>
      </w:pPr>
    </w:p>
    <w:p w:rsidR="00C63125" w:rsidRPr="00C63125" w:rsidRDefault="00C63125" w:rsidP="00C63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25">
        <w:rPr>
          <w:rFonts w:ascii="Times New Roman" w:hAnsi="Times New Roman" w:cs="Times New Roman"/>
          <w:b/>
          <w:sz w:val="24"/>
          <w:szCs w:val="24"/>
        </w:rPr>
        <w:t xml:space="preserve">Tento návrh odhlasovali </w:t>
      </w:r>
      <w:r>
        <w:rPr>
          <w:rFonts w:ascii="Times New Roman" w:hAnsi="Times New Roman" w:cs="Times New Roman"/>
          <w:b/>
          <w:sz w:val="24"/>
          <w:szCs w:val="24"/>
        </w:rPr>
        <w:t>prí</w:t>
      </w:r>
      <w:r w:rsidRPr="00C63125">
        <w:rPr>
          <w:rFonts w:ascii="Times New Roman" w:hAnsi="Times New Roman" w:cs="Times New Roman"/>
          <w:b/>
          <w:sz w:val="24"/>
          <w:szCs w:val="24"/>
        </w:rPr>
        <w:t xml:space="preserve">tomní  poslanci : </w:t>
      </w:r>
      <w:r w:rsidRPr="00C63125">
        <w:rPr>
          <w:rFonts w:ascii="Times New Roman" w:hAnsi="Times New Roman" w:cs="Times New Roman"/>
          <w:sz w:val="24"/>
          <w:szCs w:val="24"/>
        </w:rPr>
        <w:t xml:space="preserve"> </w:t>
      </w:r>
      <w:r w:rsidRPr="00C63125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C63125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C63125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C63125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C63125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C63125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C63125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C63125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C63125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C63125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C63125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2A30AD" w:rsidRPr="00C63125" w:rsidRDefault="00C63125" w:rsidP="00C631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25">
        <w:rPr>
          <w:rFonts w:ascii="Times New Roman" w:hAnsi="Times New Roman" w:cs="Times New Roman"/>
          <w:b/>
          <w:sz w:val="24"/>
          <w:szCs w:val="24"/>
        </w:rPr>
        <w:t xml:space="preserve">Hlasovania sa zdržal poslanec : Jozef Pompa </w:t>
      </w:r>
    </w:p>
    <w:p w:rsidR="00C63125" w:rsidRDefault="00C63125" w:rsidP="00C63125">
      <w:pPr>
        <w:pStyle w:val="Odstavecseseznamem"/>
        <w:spacing w:line="360" w:lineRule="auto"/>
        <w:ind w:left="840"/>
        <w:jc w:val="both"/>
        <w:rPr>
          <w:b/>
        </w:rPr>
      </w:pPr>
    </w:p>
    <w:p w:rsidR="00594A5A" w:rsidRPr="00594A5A" w:rsidRDefault="00C63125" w:rsidP="00653025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</w:rPr>
      </w:pPr>
      <w:r>
        <w:t>Ď</w:t>
      </w:r>
      <w:r w:rsidRPr="00C63125">
        <w:t xml:space="preserve">alší bod </w:t>
      </w:r>
      <w:r>
        <w:t xml:space="preserve">programu bolo prednesenie cenovej ponuky firmy TOPTECH Košice  na prípravu </w:t>
      </w:r>
      <w:r w:rsidRPr="00C63125">
        <w:t xml:space="preserve"> PD na likvidáciu </w:t>
      </w:r>
      <w:proofErr w:type="spellStart"/>
      <w:r>
        <w:t>enviromentálnych</w:t>
      </w:r>
      <w:proofErr w:type="spellEnd"/>
      <w:r>
        <w:t xml:space="preserve"> záťaží - </w:t>
      </w:r>
      <w:r w:rsidRPr="00C63125">
        <w:t xml:space="preserve">divokých </w:t>
      </w:r>
      <w:r>
        <w:t xml:space="preserve">. Celková fakturovaná cena projektových prác  a inžinierskych  činností podľa predloženej ponuky bola 2 500 €. Obec, by podľa tejto ponuky musela zriadiť zberný dvor. K tejto téme sa vyjadril aj hlavný </w:t>
      </w:r>
      <w:proofErr w:type="spellStart"/>
      <w:r>
        <w:t>kontolór</w:t>
      </w:r>
      <w:proofErr w:type="spellEnd"/>
      <w:r>
        <w:t xml:space="preserve"> a uviedol, že neodporúča ísť do takéhoto projektu, nakoľko, by to bolo pre obec nehospodárne nakladanie s financiami. Poslanec Bc. </w:t>
      </w:r>
      <w:proofErr w:type="spellStart"/>
      <w:r>
        <w:t>Kačur</w:t>
      </w:r>
      <w:proofErr w:type="spellEnd"/>
      <w:r>
        <w:t xml:space="preserve"> navrhol riešiť problém s platením poplatku za odpad prostredníctvom exekútora. </w:t>
      </w:r>
      <w:r w:rsidR="00594A5A">
        <w:t xml:space="preserve">Poslanci k tejto tému uviedli, že v obci funguje AČ a títo nezamestnaní môžu byť nápomocný pri odpratávaní odpadu. Poslanec Mgr. Miroslav </w:t>
      </w:r>
      <w:proofErr w:type="spellStart"/>
      <w:r w:rsidR="00594A5A">
        <w:t>Svitana</w:t>
      </w:r>
      <w:proofErr w:type="spellEnd"/>
      <w:r w:rsidR="00594A5A">
        <w:t xml:space="preserve"> upozornil na zhromaždený odpad na hrádzi bobra v Lesíku za MŠ. Poslanec Jozef Pompa naopak uviedol, že by bolo dobré zrealizovať takýto projekt. </w:t>
      </w:r>
    </w:p>
    <w:p w:rsidR="00C63125" w:rsidRPr="00594A5A" w:rsidRDefault="008408E2" w:rsidP="00594A5A">
      <w:pPr>
        <w:pStyle w:val="Odstavecseseznamem"/>
        <w:ind w:left="840"/>
        <w:jc w:val="both"/>
        <w:rPr>
          <w:b/>
        </w:rPr>
      </w:pPr>
      <w:r>
        <w:t xml:space="preserve">V závere diskusie k tejto téme sa poslanci uzniesli, aby obec do </w:t>
      </w:r>
      <w:r w:rsidR="003F5461">
        <w:t xml:space="preserve">tohto projektu nešla. </w:t>
      </w:r>
    </w:p>
    <w:p w:rsidR="00653025" w:rsidRPr="00653025" w:rsidRDefault="00653025" w:rsidP="00653025">
      <w:pPr>
        <w:jc w:val="both"/>
        <w:rPr>
          <w:b/>
        </w:rPr>
      </w:pPr>
    </w:p>
    <w:p w:rsidR="00653025" w:rsidRPr="00D60E5D" w:rsidRDefault="00653025" w:rsidP="00653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5D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D60E5D">
        <w:rPr>
          <w:rFonts w:ascii="Times New Roman" w:hAnsi="Times New Roman" w:cs="Times New Roman"/>
          <w:sz w:val="24"/>
          <w:szCs w:val="24"/>
        </w:rPr>
        <w:t xml:space="preserve"> </w:t>
      </w:r>
      <w:r w:rsidRPr="00D60E5D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3F5461" w:rsidRDefault="003F5461" w:rsidP="003F5461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3F5461">
        <w:t xml:space="preserve">Ako ďalší bod programu predniesol </w:t>
      </w:r>
      <w:r>
        <w:t xml:space="preserve">starosta návrh, aby sa zmenil účel použitia dotácie pre Rímsko- katolícku cirkev, farnosť Toporec, ktorá bola schválená </w:t>
      </w:r>
      <w:r w:rsidRPr="003F5461">
        <w:rPr>
          <w:rFonts w:eastAsia="Calibri"/>
        </w:rPr>
        <w:t>Uznesením č</w:t>
      </w:r>
      <w:r w:rsidRPr="003F5461">
        <w:t>. 8/2016 dňa 14.04.2016</w:t>
      </w:r>
      <w:r>
        <w:t xml:space="preserve"> a to na výmenu okien na farskom úrade , nie na rekonštrukciu orgánu. Zároveň odovzdal slovo poslanci Bc. </w:t>
      </w:r>
      <w:proofErr w:type="spellStart"/>
      <w:r>
        <w:t>Kačurovi</w:t>
      </w:r>
      <w:proofErr w:type="spellEnd"/>
      <w:r>
        <w:t xml:space="preserve">, ktorý je aj členom farskej rady, aby objasnil bližšie dôvod zmeny účelu použitia tejto dotácie. Tento uviedol, že orgán sa rekonštruuje prostredníctvom súkromnej osoby a preto by nemohli byť vystavené doklady na vyúčtovanie poskytnutej dotácie. </w:t>
      </w:r>
    </w:p>
    <w:p w:rsidR="003F5461" w:rsidRDefault="003F5461" w:rsidP="003F5461">
      <w:pPr>
        <w:ind w:left="480"/>
        <w:jc w:val="both"/>
        <w:rPr>
          <w:b/>
        </w:rPr>
      </w:pPr>
    </w:p>
    <w:p w:rsidR="003F5461" w:rsidRPr="003F5461" w:rsidRDefault="003F5461" w:rsidP="003F5461">
      <w:pPr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61">
        <w:rPr>
          <w:rFonts w:ascii="Times New Roman" w:hAnsi="Times New Roman" w:cs="Times New Roman"/>
          <w:b/>
          <w:sz w:val="24"/>
          <w:szCs w:val="24"/>
        </w:rPr>
        <w:t xml:space="preserve">Tento návrh odhlasovali  prítomní  poslanci : </w:t>
      </w:r>
      <w:r w:rsidRPr="003F5461">
        <w:rPr>
          <w:rFonts w:ascii="Times New Roman" w:hAnsi="Times New Roman" w:cs="Times New Roman"/>
          <w:sz w:val="24"/>
          <w:szCs w:val="24"/>
        </w:rPr>
        <w:t xml:space="preserve"> </w:t>
      </w:r>
      <w:r w:rsidRPr="003F5461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3F5461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3F5461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3F5461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3F5461">
        <w:rPr>
          <w:rFonts w:ascii="Times New Roman" w:hAnsi="Times New Roman" w:cs="Times New Roman"/>
          <w:b/>
          <w:sz w:val="24"/>
          <w:szCs w:val="24"/>
        </w:rPr>
        <w:t xml:space="preserve">,  Vladimír </w:t>
      </w:r>
      <w:proofErr w:type="spellStart"/>
      <w:r w:rsidRPr="003F5461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3F5461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3F5461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3F5461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3F5461" w:rsidRPr="002A35C4" w:rsidRDefault="003F5461" w:rsidP="003F5461">
      <w:pPr>
        <w:spacing w:line="36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C4">
        <w:rPr>
          <w:rFonts w:ascii="Times New Roman" w:hAnsi="Times New Roman" w:cs="Times New Roman"/>
          <w:b/>
          <w:sz w:val="24"/>
          <w:szCs w:val="24"/>
        </w:rPr>
        <w:t xml:space="preserve">Hlasovania sa zdržal poslanec : </w:t>
      </w:r>
      <w:r w:rsidRPr="002A35C4">
        <w:rPr>
          <w:rFonts w:ascii="Times New Roman" w:hAnsi="Times New Roman" w:cs="Times New Roman"/>
          <w:b/>
        </w:rPr>
        <w:t xml:space="preserve">Mgr. Miroslav </w:t>
      </w:r>
      <w:proofErr w:type="spellStart"/>
      <w:r w:rsidRPr="002A35C4">
        <w:rPr>
          <w:rFonts w:ascii="Times New Roman" w:hAnsi="Times New Roman" w:cs="Times New Roman"/>
          <w:b/>
        </w:rPr>
        <w:t>Svitana</w:t>
      </w:r>
      <w:proofErr w:type="spellEnd"/>
    </w:p>
    <w:p w:rsidR="00AA76A1" w:rsidRPr="00AA76A1" w:rsidRDefault="00AA76A1" w:rsidP="00D569B2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t>V ďalšom bode prednostka oboznámila poslancov s</w:t>
      </w:r>
      <w:r w:rsidRPr="00AA76A1">
        <w:t xml:space="preserve"> Vnútornou smernicou  k zadávaniu zákaziek n a dodanie tovaru, na poskytovanie služieb  a uskutočnenie stavebných prác podľa zákona č. 343/2015 </w:t>
      </w:r>
      <w:proofErr w:type="spellStart"/>
      <w:r w:rsidRPr="00AA76A1">
        <w:t>Z.z</w:t>
      </w:r>
      <w:proofErr w:type="spellEnd"/>
      <w:r w:rsidRPr="00AA76A1">
        <w:t xml:space="preserve">. o verejnom obstarávaní  a o zmene a doplnení niektorých zákonov v znení neskorších predpisov účinného od 18.04.2016.  </w:t>
      </w:r>
    </w:p>
    <w:p w:rsidR="00C63125" w:rsidRPr="003F5461" w:rsidRDefault="00C63125" w:rsidP="00D569B2">
      <w:pPr>
        <w:pStyle w:val="Odstavecseseznamem"/>
        <w:spacing w:line="360" w:lineRule="auto"/>
        <w:jc w:val="both"/>
      </w:pPr>
    </w:p>
    <w:p w:rsidR="00AA76A1" w:rsidRPr="00D60E5D" w:rsidRDefault="00AA76A1" w:rsidP="00AA7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Tento návrh odhlasovali všetci prítomní  poslanci : </w:t>
      </w:r>
      <w:r w:rsidRPr="00D60E5D">
        <w:rPr>
          <w:rFonts w:ascii="Times New Roman" w:hAnsi="Times New Roman" w:cs="Times New Roman"/>
          <w:sz w:val="24"/>
          <w:szCs w:val="24"/>
        </w:rPr>
        <w:t xml:space="preserve"> </w:t>
      </w:r>
      <w:r w:rsidRPr="00D60E5D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C63125" w:rsidRDefault="00AA76A1" w:rsidP="00AA76A1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AA76A1">
        <w:t xml:space="preserve">V časti </w:t>
      </w:r>
      <w:r w:rsidRPr="007865C9">
        <w:rPr>
          <w:b/>
          <w:u w:val="single"/>
        </w:rPr>
        <w:t>rôzne</w:t>
      </w:r>
      <w:r w:rsidRPr="007865C9">
        <w:rPr>
          <w:b/>
        </w:rPr>
        <w:t xml:space="preserve"> </w:t>
      </w:r>
      <w:r>
        <w:t xml:space="preserve">starosta </w:t>
      </w:r>
      <w:r w:rsidR="00A05BBB">
        <w:t xml:space="preserve"> informoval prítomných, že od 01.06.2016 sa začnú práce na vybudovaní chodníka na cintorín , že budú prijatí ľudia cez ÚPSVaR. Poslanec </w:t>
      </w:r>
      <w:proofErr w:type="spellStart"/>
      <w:r w:rsidR="00A05BBB">
        <w:t>Dragošek</w:t>
      </w:r>
      <w:proofErr w:type="spellEnd"/>
      <w:r w:rsidR="00A05BBB">
        <w:t xml:space="preserve"> navrhol, aby sa podložie chodníka vysypalo šutrom a aby sa požičala žaba na spevnenie povrchu. Poslanci </w:t>
      </w:r>
      <w:proofErr w:type="spellStart"/>
      <w:r w:rsidR="00A05BBB">
        <w:t>Svitanovci</w:t>
      </w:r>
      <w:proofErr w:type="spellEnd"/>
      <w:r w:rsidR="00A05BBB">
        <w:t xml:space="preserve"> uviedli, aby starosta vybavil </w:t>
      </w:r>
      <w:proofErr w:type="spellStart"/>
      <w:r w:rsidR="00A05BBB">
        <w:t>šutelinu</w:t>
      </w:r>
      <w:proofErr w:type="spellEnd"/>
      <w:r w:rsidR="00A05BBB">
        <w:t xml:space="preserve"> z Vojenských lesov a oni ju dovezú traktorom. </w:t>
      </w:r>
    </w:p>
    <w:p w:rsidR="007865C9" w:rsidRDefault="007865C9" w:rsidP="007865C9">
      <w:pPr>
        <w:spacing w:line="360" w:lineRule="auto"/>
        <w:jc w:val="both"/>
      </w:pPr>
    </w:p>
    <w:p w:rsidR="007865C9" w:rsidRDefault="007865C9" w:rsidP="007865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5C9">
        <w:rPr>
          <w:rFonts w:ascii="Times New Roman" w:hAnsi="Times New Roman" w:cs="Times New Roman"/>
          <w:sz w:val="24"/>
          <w:szCs w:val="24"/>
        </w:rPr>
        <w:t>Ďalej starosta informoval, že je určené miesto na sústreďovanie zelene z trávnikov za zadnou bránou cintorína, nakoľko</w:t>
      </w:r>
      <w:r>
        <w:rPr>
          <w:rFonts w:ascii="Times New Roman" w:hAnsi="Times New Roman" w:cs="Times New Roman"/>
          <w:sz w:val="24"/>
          <w:szCs w:val="24"/>
        </w:rPr>
        <w:t xml:space="preserve"> boli sťažnosti od občanov, že pokosená tráva hnije a zapácha. </w:t>
      </w:r>
    </w:p>
    <w:p w:rsidR="007865C9" w:rsidRDefault="007865C9" w:rsidP="007865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65C9" w:rsidRDefault="007865C9" w:rsidP="007865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</w:t>
      </w:r>
      <w:r w:rsidRPr="0078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informoval, že je potrebné zakúpiť nový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krovinorez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ktorého cena bude okolo 700 €, pretože tie staré postupne odchádzajú a kazia sa. </w:t>
      </w:r>
    </w:p>
    <w:p w:rsidR="007865C9" w:rsidRDefault="007865C9" w:rsidP="007865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69B2" w:rsidRDefault="00D569B2" w:rsidP="00D5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C1E">
        <w:rPr>
          <w:rFonts w:ascii="Times New Roman" w:hAnsi="Times New Roman" w:cs="Times New Roman"/>
          <w:sz w:val="24"/>
          <w:szCs w:val="24"/>
        </w:rPr>
        <w:t xml:space="preserve">Následne starosta podal správu o zistených nedostatkoch v MŠ- obec Regionálnym </w:t>
      </w:r>
    </w:p>
    <w:p w:rsidR="00D569B2" w:rsidRDefault="00D569B2" w:rsidP="00D5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C1E">
        <w:rPr>
          <w:rFonts w:ascii="Times New Roman" w:hAnsi="Times New Roman" w:cs="Times New Roman"/>
          <w:sz w:val="24"/>
          <w:szCs w:val="24"/>
        </w:rPr>
        <w:t>odborom verejného zdravotníctva v</w:t>
      </w:r>
      <w:r>
        <w:rPr>
          <w:rFonts w:ascii="Times New Roman" w:hAnsi="Times New Roman" w:cs="Times New Roman"/>
          <w:sz w:val="24"/>
          <w:szCs w:val="24"/>
        </w:rPr>
        <w:t xml:space="preserve"> Poprade : opotrebovaná, popraskaná maľovka </w:t>
      </w:r>
    </w:p>
    <w:p w:rsidR="00D569B2" w:rsidRDefault="00D569B2" w:rsidP="00D5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stien, vrátane olejového náteru, opotrebovaný povrchový náter záhradného oplotenia, </w:t>
      </w:r>
    </w:p>
    <w:p w:rsidR="00D569B2" w:rsidRDefault="00D569B2" w:rsidP="00D5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poškodené drevené oplotenie detského pieskoviska, miestami opotrebované   </w:t>
      </w:r>
    </w:p>
    <w:p w:rsidR="00EE0162" w:rsidRDefault="00D569B2" w:rsidP="00D5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odkvapové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rýny</w:t>
      </w:r>
      <w:proofErr w:type="spellEnd"/>
      <w:r w:rsidR="00EE0162">
        <w:rPr>
          <w:rFonts w:ascii="Times New Roman" w:hAnsi="Times New Roman" w:cs="Times New Roman"/>
          <w:sz w:val="24"/>
          <w:szCs w:val="24"/>
        </w:rPr>
        <w:t xml:space="preserve">, ktoré je potrebné vyčistiť. </w:t>
      </w:r>
      <w:r>
        <w:rPr>
          <w:rFonts w:ascii="Times New Roman" w:hAnsi="Times New Roman" w:cs="Times New Roman"/>
          <w:sz w:val="24"/>
          <w:szCs w:val="24"/>
        </w:rPr>
        <w:t xml:space="preserve">  Drevené </w:t>
      </w:r>
      <w:r w:rsidR="00866C1E">
        <w:rPr>
          <w:rFonts w:ascii="Times New Roman" w:hAnsi="Times New Roman" w:cs="Times New Roman"/>
          <w:sz w:val="24"/>
          <w:szCs w:val="24"/>
        </w:rPr>
        <w:t xml:space="preserve"> lemovanie – </w:t>
      </w:r>
      <w:proofErr w:type="spellStart"/>
      <w:r w:rsidR="00866C1E">
        <w:rPr>
          <w:rFonts w:ascii="Times New Roman" w:hAnsi="Times New Roman" w:cs="Times New Roman"/>
          <w:sz w:val="24"/>
          <w:szCs w:val="24"/>
        </w:rPr>
        <w:t>foršty</w:t>
      </w:r>
      <w:proofErr w:type="spellEnd"/>
      <w:r w:rsidR="00EE0162"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866C1E" w:rsidRDefault="00EE0162" w:rsidP="00D5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pieskovisko </w:t>
      </w:r>
      <w:r w:rsidR="00866C1E">
        <w:rPr>
          <w:rFonts w:ascii="Times New Roman" w:hAnsi="Times New Roman" w:cs="Times New Roman"/>
          <w:sz w:val="24"/>
          <w:szCs w:val="24"/>
        </w:rPr>
        <w:t>zabezpečí poslanec Šoltés.</w:t>
      </w:r>
    </w:p>
    <w:p w:rsidR="00866C1E" w:rsidRDefault="00866C1E" w:rsidP="00866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6C1E" w:rsidRDefault="00866C1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Starosta podal správu o schválení Školského klubu detí do siete škôl a školských                                         </w:t>
      </w:r>
    </w:p>
    <w:p w:rsidR="00866C1E" w:rsidRDefault="00866C1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zariadení  </w:t>
      </w:r>
      <w:r w:rsidRPr="006B7419">
        <w:rPr>
          <w:rFonts w:ascii="Times New Roman" w:hAnsi="Times New Roman" w:cs="Times New Roman"/>
          <w:sz w:val="24"/>
          <w:szCs w:val="24"/>
        </w:rPr>
        <w:t>Minist</w:t>
      </w:r>
      <w:r>
        <w:rPr>
          <w:rFonts w:ascii="Times New Roman" w:hAnsi="Times New Roman" w:cs="Times New Roman"/>
          <w:sz w:val="24"/>
          <w:szCs w:val="24"/>
        </w:rPr>
        <w:t xml:space="preserve">erstvom školstva SR , ktorý bude </w:t>
      </w:r>
      <w:r w:rsidRPr="006B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r w:rsidRPr="006B7419">
        <w:rPr>
          <w:rFonts w:ascii="Times New Roman" w:hAnsi="Times New Roman" w:cs="Times New Roman"/>
          <w:sz w:val="24"/>
          <w:szCs w:val="24"/>
        </w:rPr>
        <w:t xml:space="preserve">súčasť Základnej školy </w:t>
      </w:r>
    </w:p>
    <w:p w:rsidR="00866C1E" w:rsidRDefault="00866C1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419">
        <w:rPr>
          <w:rFonts w:ascii="Times New Roman" w:hAnsi="Times New Roman" w:cs="Times New Roman"/>
          <w:sz w:val="24"/>
          <w:szCs w:val="24"/>
        </w:rPr>
        <w:t>Toporec, Školská 7/6, Toporec. Platnosť od 01.09.2016</w:t>
      </w:r>
      <w:r>
        <w:rPr>
          <w:rFonts w:ascii="Times New Roman" w:hAnsi="Times New Roman" w:cs="Times New Roman"/>
          <w:sz w:val="24"/>
          <w:szCs w:val="24"/>
        </w:rPr>
        <w:t xml:space="preserve">. Obci vzniknú náklady na                   </w:t>
      </w:r>
    </w:p>
    <w:p w:rsidR="00866C1E" w:rsidRDefault="00866C1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mzdu a odvody učiteľky, ktorá bude vykonávať činnosť v tomto zariadení.  </w:t>
      </w:r>
    </w:p>
    <w:p w:rsidR="007865C9" w:rsidRDefault="007865C9" w:rsidP="007865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04E" w:rsidRDefault="0096504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Ďalej starosta prečítal žiadosť z Detského domova sv.</w:t>
      </w:r>
      <w:r w:rsidRPr="0096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Duchnoviča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04E" w:rsidRDefault="0096504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Medzilaborce o tvorbu úspor na uľahčenie  a podporu osamostatnenia sa pre mal. deti </w:t>
      </w:r>
    </w:p>
    <w:p w:rsidR="0096504E" w:rsidRDefault="0096504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Martinu,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03.09.2001, Dušana 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26.08.2002 a Lucii,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04E" w:rsidRPr="006B7419" w:rsidRDefault="0096504E" w:rsidP="001B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18.05.2005. </w:t>
      </w:r>
      <w:r w:rsidRPr="0062106B">
        <w:rPr>
          <w:rFonts w:ascii="Times New Roman" w:hAnsi="Times New Roman" w:cs="Times New Roman"/>
          <w:sz w:val="24"/>
          <w:szCs w:val="24"/>
        </w:rPr>
        <w:t>Dôvodom je nedostatok finančných prostriedkov.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01" w:rsidRDefault="001B3501" w:rsidP="009650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04E" w:rsidRPr="00D60E5D" w:rsidRDefault="0096504E" w:rsidP="00965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5D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D60E5D">
        <w:rPr>
          <w:rFonts w:ascii="Times New Roman" w:hAnsi="Times New Roman" w:cs="Times New Roman"/>
          <w:sz w:val="24"/>
          <w:szCs w:val="24"/>
        </w:rPr>
        <w:t xml:space="preserve"> </w:t>
      </w:r>
      <w:r w:rsidRPr="00D60E5D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Michal Šoltés, Mgr. Jozef </w:t>
      </w:r>
      <w:proofErr w:type="spellStart"/>
      <w:r w:rsidRPr="00D60E5D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60E5D">
        <w:rPr>
          <w:rFonts w:ascii="Times New Roman" w:hAnsi="Times New Roman" w:cs="Times New Roman"/>
          <w:b/>
          <w:sz w:val="24"/>
          <w:szCs w:val="24"/>
        </w:rPr>
        <w:t xml:space="preserve">, Jozef Pompa </w:t>
      </w:r>
    </w:p>
    <w:p w:rsidR="0096504E" w:rsidRDefault="0096504E" w:rsidP="009650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04E" w:rsidRDefault="0096504E" w:rsidP="009650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ďalšom bode informoval, že detské ihrisko za obecným úradom sa už pripravuje, bude sa oplocovať a vyseje sa tráva. Na vybavenie ihriska hojdačkami bude potrebné zakúpiť , také hojdačky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preliezky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sú certifikované, jedná sa hlavne o výškové. Poslanec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navrhol, aby sa toto ihrisko skrášlilo pneumatikami, ktoré sa vymaľujú. </w:t>
      </w:r>
    </w:p>
    <w:p w:rsidR="0096504E" w:rsidRDefault="0096504E" w:rsidP="009650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04E" w:rsidRDefault="0096504E" w:rsidP="009650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podal  s</w:t>
      </w:r>
      <w:r w:rsidRPr="009B2AB8">
        <w:rPr>
          <w:rFonts w:ascii="Times New Roman" w:hAnsi="Times New Roman" w:cs="Times New Roman"/>
          <w:sz w:val="24"/>
          <w:szCs w:val="24"/>
        </w:rPr>
        <w:t xml:space="preserve">právu o podaní zámeru prostredníctvom  </w:t>
      </w:r>
      <w:r w:rsidRPr="009B2AB8">
        <w:rPr>
          <w:rFonts w:ascii="Times New Roman" w:hAnsi="Times New Roman" w:cs="Times New Roman"/>
          <w:color w:val="000000"/>
          <w:sz w:val="24"/>
          <w:szCs w:val="24"/>
        </w:rPr>
        <w:t xml:space="preserve">operačného programu IROP cez PSK  na </w:t>
      </w:r>
      <w:r w:rsidRPr="009B2AB8">
        <w:rPr>
          <w:rFonts w:ascii="Times New Roman" w:hAnsi="Times New Roman" w:cs="Times New Roman"/>
          <w:sz w:val="24"/>
          <w:szCs w:val="24"/>
        </w:rPr>
        <w:t>projekt  realizácie gravitačnej aj tlakovej kanalizácie a ČOV. Projekt prepojí jestvujúcu kanalizáci</w:t>
      </w:r>
      <w:r>
        <w:rPr>
          <w:rFonts w:ascii="Times New Roman" w:hAnsi="Times New Roman" w:cs="Times New Roman"/>
          <w:sz w:val="24"/>
          <w:szCs w:val="24"/>
        </w:rPr>
        <w:t xml:space="preserve">u na ČOV, ktorá bude sfunkčnená. </w:t>
      </w:r>
    </w:p>
    <w:p w:rsidR="001B3501" w:rsidRDefault="001B3501" w:rsidP="009650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04E" w:rsidRDefault="0096504E" w:rsidP="0096504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</w:t>
      </w:r>
      <w:r w:rsidRPr="009B2AB8">
        <w:rPr>
          <w:rFonts w:ascii="Times New Roman" w:hAnsi="Times New Roman" w:cs="Times New Roman"/>
          <w:sz w:val="24"/>
          <w:szCs w:val="24"/>
        </w:rPr>
        <w:t>správu o objednaní výberového konania na rekonštrukciu MK na Hornej ulici v r. 2016 a k cintorínu na budúci rok.</w:t>
      </w:r>
      <w:r w:rsidRPr="009B2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501" w:rsidRDefault="001B3501" w:rsidP="009650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04E" w:rsidRDefault="0096504E" w:rsidP="009650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B7419">
        <w:rPr>
          <w:rFonts w:ascii="Times New Roman" w:hAnsi="Times New Roman" w:cs="Times New Roman"/>
          <w:sz w:val="24"/>
          <w:szCs w:val="24"/>
        </w:rPr>
        <w:t>právu o vykonanom výberovom konaní na nákup materiálu a to dlažobné kocky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419">
        <w:rPr>
          <w:rFonts w:ascii="Times New Roman" w:hAnsi="Times New Roman" w:cs="Times New Roman"/>
          <w:sz w:val="24"/>
          <w:szCs w:val="24"/>
        </w:rPr>
        <w:t>obrubn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B7419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04E" w:rsidRDefault="0096504E" w:rsidP="0096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4E">
        <w:rPr>
          <w:rFonts w:ascii="Times New Roman" w:hAnsi="Times New Roman" w:cs="Times New Roman"/>
          <w:sz w:val="24"/>
          <w:szCs w:val="24"/>
        </w:rPr>
        <w:t xml:space="preserve">            Stavebniny </w:t>
      </w:r>
      <w:proofErr w:type="spellStart"/>
      <w:r w:rsidRPr="0096504E">
        <w:rPr>
          <w:rFonts w:ascii="Times New Roman" w:hAnsi="Times New Roman" w:cs="Times New Roman"/>
          <w:sz w:val="24"/>
          <w:szCs w:val="24"/>
        </w:rPr>
        <w:t>Furcoň</w:t>
      </w:r>
      <w:proofErr w:type="spellEnd"/>
      <w:r w:rsidRPr="009650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504E">
        <w:rPr>
          <w:rFonts w:ascii="Times New Roman" w:hAnsi="Times New Roman" w:cs="Times New Roman"/>
          <w:sz w:val="24"/>
          <w:szCs w:val="24"/>
        </w:rPr>
        <w:t>obrub</w:t>
      </w:r>
      <w:proofErr w:type="spellEnd"/>
      <w:r w:rsidRPr="0096504E">
        <w:rPr>
          <w:rFonts w:ascii="Times New Roman" w:hAnsi="Times New Roman" w:cs="Times New Roman"/>
          <w:sz w:val="24"/>
          <w:szCs w:val="24"/>
        </w:rPr>
        <w:t xml:space="preserve">. 1.60,-/ks, dlažba 6,80,- m/ </w:t>
      </w:r>
      <w:r w:rsidRPr="0096504E">
        <w:rPr>
          <w:rFonts w:ascii="Times New Roman" w:hAnsi="Times New Roman" w:cs="Times New Roman"/>
          <w:b/>
          <w:color w:val="FF0000"/>
          <w:sz w:val="24"/>
          <w:szCs w:val="24"/>
        </w:rPr>
        <w:t>2 884,-eur</w:t>
      </w:r>
    </w:p>
    <w:p w:rsidR="0096504E" w:rsidRPr="0096504E" w:rsidRDefault="0096504E" w:rsidP="0096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504E">
        <w:rPr>
          <w:rFonts w:ascii="Times New Roman" w:hAnsi="Times New Roman" w:cs="Times New Roman"/>
          <w:sz w:val="24"/>
          <w:szCs w:val="24"/>
        </w:rPr>
        <w:t>ebek</w:t>
      </w:r>
      <w:proofErr w:type="spellEnd"/>
      <w:r w:rsidRPr="0096504E">
        <w:rPr>
          <w:rFonts w:ascii="Times New Roman" w:hAnsi="Times New Roman" w:cs="Times New Roman"/>
          <w:sz w:val="24"/>
          <w:szCs w:val="24"/>
        </w:rPr>
        <w:t xml:space="preserve"> Matejovce  </w:t>
      </w:r>
      <w:proofErr w:type="spellStart"/>
      <w:r w:rsidRPr="0096504E">
        <w:rPr>
          <w:rFonts w:ascii="Times New Roman" w:hAnsi="Times New Roman" w:cs="Times New Roman"/>
          <w:sz w:val="24"/>
          <w:szCs w:val="24"/>
        </w:rPr>
        <w:t>obrub</w:t>
      </w:r>
      <w:proofErr w:type="spellEnd"/>
      <w:r w:rsidRPr="0096504E">
        <w:rPr>
          <w:rFonts w:ascii="Times New Roman" w:hAnsi="Times New Roman" w:cs="Times New Roman"/>
          <w:sz w:val="24"/>
          <w:szCs w:val="24"/>
        </w:rPr>
        <w:t>. 1,28</w:t>
      </w:r>
      <w:r w:rsidRPr="0096504E">
        <w:rPr>
          <w:rFonts w:ascii="Times New Roman" w:hAnsi="Times New Roman" w:cs="Times New Roman"/>
          <w:color w:val="FF0000"/>
          <w:sz w:val="24"/>
          <w:szCs w:val="24"/>
        </w:rPr>
        <w:t>,-/ks, dlažba 8,27,- m/</w:t>
      </w:r>
      <w:r w:rsidRPr="0096504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9650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04E">
        <w:rPr>
          <w:rFonts w:ascii="Times New Roman" w:hAnsi="Times New Roman" w:cs="Times New Roman"/>
          <w:b/>
          <w:color w:val="FF0000"/>
          <w:sz w:val="24"/>
          <w:szCs w:val="24"/>
        </w:rPr>
        <w:t>3 467,- eur</w:t>
      </w:r>
    </w:p>
    <w:p w:rsidR="0096504E" w:rsidRPr="0096504E" w:rsidRDefault="0096504E" w:rsidP="0096504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04E">
        <w:rPr>
          <w:rFonts w:ascii="Times New Roman" w:hAnsi="Times New Roman" w:cs="Times New Roman"/>
          <w:sz w:val="24"/>
          <w:szCs w:val="24"/>
        </w:rPr>
        <w:t xml:space="preserve">Stavebniny </w:t>
      </w:r>
      <w:proofErr w:type="spellStart"/>
      <w:r w:rsidRPr="0096504E">
        <w:rPr>
          <w:rFonts w:ascii="Times New Roman" w:hAnsi="Times New Roman" w:cs="Times New Roman"/>
          <w:sz w:val="24"/>
          <w:szCs w:val="24"/>
        </w:rPr>
        <w:t>Podolinec</w:t>
      </w:r>
      <w:proofErr w:type="spellEnd"/>
      <w:r w:rsidRPr="0096504E">
        <w:rPr>
          <w:rFonts w:ascii="Times New Roman" w:hAnsi="Times New Roman" w:cs="Times New Roman"/>
          <w:sz w:val="24"/>
          <w:szCs w:val="24"/>
        </w:rPr>
        <w:t xml:space="preserve">  Baláž  - nepodal</w:t>
      </w:r>
      <w:r>
        <w:rPr>
          <w:rFonts w:ascii="Times New Roman" w:hAnsi="Times New Roman" w:cs="Times New Roman"/>
          <w:sz w:val="24"/>
          <w:szCs w:val="24"/>
        </w:rPr>
        <w:t xml:space="preserve"> ponuku </w:t>
      </w:r>
    </w:p>
    <w:p w:rsidR="007865C9" w:rsidRDefault="007865C9" w:rsidP="00965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17D" w:rsidRDefault="00D2317D" w:rsidP="00965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17D" w:rsidRDefault="00D2317D" w:rsidP="00D2317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oboznámil prítomných, že cez prázdniny sa začnú stavebné práce na telocvični , preinvestuje sa 100 000 € od Úradu vlády SR a 100 000 € z rozpočtu obce na rok 2016.</w:t>
      </w:r>
    </w:p>
    <w:p w:rsidR="00D2317D" w:rsidRDefault="00D2317D" w:rsidP="00965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17D" w:rsidRDefault="00D2317D" w:rsidP="00965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17D" w:rsidRPr="007865C9" w:rsidRDefault="00D2317D" w:rsidP="00965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461" w:rsidRDefault="0096504E" w:rsidP="0096504E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lastRenderedPageBreak/>
        <w:t xml:space="preserve">Nasledoval ďalší bod a to </w:t>
      </w:r>
      <w:r w:rsidRPr="0096504E">
        <w:rPr>
          <w:b/>
          <w:u w:val="single"/>
        </w:rPr>
        <w:t>diskusia</w:t>
      </w:r>
      <w:r>
        <w:t xml:space="preserve">, do ktorej sa prihlásil Mgr. </w:t>
      </w:r>
      <w:proofErr w:type="spellStart"/>
      <w:r>
        <w:t>Svitana</w:t>
      </w:r>
      <w:proofErr w:type="spellEnd"/>
      <w:r>
        <w:t xml:space="preserve"> Miroslav a prítomných fotodokumentáciou oboznámil so skutočnosťou, že na </w:t>
      </w:r>
      <w:proofErr w:type="spellStart"/>
      <w:r>
        <w:t>Podolínskej</w:t>
      </w:r>
      <w:proofErr w:type="spellEnd"/>
      <w:r>
        <w:t xml:space="preserve"> ulici </w:t>
      </w:r>
      <w:proofErr w:type="spellStart"/>
      <w:r w:rsidR="00D2317D">
        <w:t>súp</w:t>
      </w:r>
      <w:proofErr w:type="spellEnd"/>
      <w:r w:rsidR="00D2317D">
        <w:t xml:space="preserve">. č. 337/15 stojí rodinný dom na poľnohospodárskej pôde a majiteľ si ďalej rozširuje pozemok, ktorý nepatrí jemu. Navrhol, aby sa tento problém riešil a to, aby sa tento vlastník rodinného domu pozval n a nasledujúce zasadnutie a vysvetlil tento stav. </w:t>
      </w:r>
    </w:p>
    <w:p w:rsidR="00D2317D" w:rsidRDefault="00D2317D" w:rsidP="00D2317D">
      <w:pPr>
        <w:spacing w:line="360" w:lineRule="auto"/>
        <w:jc w:val="both"/>
      </w:pPr>
      <w:r>
        <w:t xml:space="preserve">   </w:t>
      </w:r>
    </w:p>
    <w:p w:rsidR="00D2317D" w:rsidRDefault="00D2317D" w:rsidP="00D23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317D">
        <w:rPr>
          <w:rFonts w:ascii="Times New Roman" w:hAnsi="Times New Roman" w:cs="Times New Roman"/>
          <w:sz w:val="24"/>
          <w:szCs w:val="24"/>
        </w:rPr>
        <w:t xml:space="preserve">Starosta oznámil poslancom, že končí STK na </w:t>
      </w:r>
      <w:proofErr w:type="spellStart"/>
      <w:r w:rsidRPr="00D2317D">
        <w:rPr>
          <w:rFonts w:ascii="Times New Roman" w:hAnsi="Times New Roman" w:cs="Times New Roman"/>
          <w:sz w:val="24"/>
          <w:szCs w:val="24"/>
        </w:rPr>
        <w:t>Aviu</w:t>
      </w:r>
      <w:proofErr w:type="spellEnd"/>
      <w:r w:rsidRPr="00D2317D">
        <w:rPr>
          <w:rFonts w:ascii="Times New Roman" w:hAnsi="Times New Roman" w:cs="Times New Roman"/>
          <w:sz w:val="24"/>
          <w:szCs w:val="24"/>
        </w:rPr>
        <w:t xml:space="preserve">, že je potrebné pripraviť vozidlo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2317D" w:rsidRDefault="00D2317D" w:rsidP="00D23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317D">
        <w:rPr>
          <w:rFonts w:ascii="Times New Roman" w:hAnsi="Times New Roman" w:cs="Times New Roman"/>
          <w:sz w:val="24"/>
          <w:szCs w:val="24"/>
        </w:rPr>
        <w:t xml:space="preserve">na kontrolu. Poslanec Peter </w:t>
      </w:r>
      <w:proofErr w:type="spellStart"/>
      <w:r w:rsidRPr="00D2317D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D2317D">
        <w:rPr>
          <w:rFonts w:ascii="Times New Roman" w:hAnsi="Times New Roman" w:cs="Times New Roman"/>
          <w:sz w:val="24"/>
          <w:szCs w:val="24"/>
        </w:rPr>
        <w:t xml:space="preserve"> uviedol, že je potrebné vymeniť výfuk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2317D" w:rsidRPr="00D2317D" w:rsidRDefault="00D2317D" w:rsidP="00D23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317D">
        <w:rPr>
          <w:rFonts w:ascii="Times New Roman" w:hAnsi="Times New Roman" w:cs="Times New Roman"/>
          <w:sz w:val="24"/>
          <w:szCs w:val="24"/>
        </w:rPr>
        <w:t xml:space="preserve">a uskutočniť ďalšie opravy. </w:t>
      </w:r>
    </w:p>
    <w:p w:rsidR="004832D7" w:rsidRDefault="004832D7" w:rsidP="00D2317D">
      <w:pPr>
        <w:spacing w:after="0" w:line="360" w:lineRule="auto"/>
        <w:jc w:val="both"/>
      </w:pPr>
    </w:p>
    <w:p w:rsidR="00D2317D" w:rsidRDefault="00D2317D" w:rsidP="00D2317D">
      <w:pPr>
        <w:spacing w:after="0" w:line="360" w:lineRule="auto"/>
        <w:jc w:val="both"/>
      </w:pPr>
      <w:r>
        <w:t xml:space="preserve">   </w:t>
      </w:r>
    </w:p>
    <w:p w:rsidR="004832D7" w:rsidRDefault="00D2317D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4832D7">
        <w:rPr>
          <w:rFonts w:ascii="Times New Roman" w:hAnsi="Times New Roman" w:cs="Times New Roman"/>
          <w:sz w:val="24"/>
          <w:szCs w:val="24"/>
        </w:rPr>
        <w:t xml:space="preserve">Ďalej starosta poprosil poslancov, aby navrhli koho oceniť na Oslavách obce, </w:t>
      </w:r>
      <w:r w:rsidR="004832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32D7" w:rsidRDefault="004832D7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317D" w:rsidRPr="004832D7">
        <w:rPr>
          <w:rFonts w:ascii="Times New Roman" w:hAnsi="Times New Roman" w:cs="Times New Roman"/>
          <w:sz w:val="24"/>
          <w:szCs w:val="24"/>
        </w:rPr>
        <w:t xml:space="preserve">poslanci navrhli oceniť športovcov, ktorý s reprezentovali  na rôznych súťažiach </w:t>
      </w:r>
    </w:p>
    <w:p w:rsidR="00D2317D" w:rsidRPr="004832D7" w:rsidRDefault="004832D7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317D" w:rsidRPr="004832D7">
        <w:rPr>
          <w:rFonts w:ascii="Times New Roman" w:hAnsi="Times New Roman" w:cs="Times New Roman"/>
          <w:sz w:val="24"/>
          <w:szCs w:val="24"/>
        </w:rPr>
        <w:t>v rámci SR.</w:t>
      </w:r>
    </w:p>
    <w:p w:rsidR="004832D7" w:rsidRDefault="004832D7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C1" w:rsidRDefault="002960C1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Taktiež navrhol oživiť tradíciu Stavania mája.</w:t>
      </w:r>
    </w:p>
    <w:p w:rsidR="00C13D3A" w:rsidRDefault="00C13D3A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01" w:rsidRPr="0062106B" w:rsidRDefault="00C13D3A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106B">
        <w:rPr>
          <w:rFonts w:ascii="Times New Roman" w:hAnsi="Times New Roman" w:cs="Times New Roman"/>
          <w:sz w:val="24"/>
          <w:szCs w:val="24"/>
        </w:rPr>
        <w:t xml:space="preserve"> </w:t>
      </w:r>
      <w:r w:rsidRPr="0062106B">
        <w:rPr>
          <w:rFonts w:ascii="Times New Roman" w:hAnsi="Times New Roman" w:cs="Times New Roman"/>
          <w:sz w:val="24"/>
          <w:szCs w:val="24"/>
        </w:rPr>
        <w:t xml:space="preserve">Starosta informoval prítomných, že dňa 21.05.2016 </w:t>
      </w:r>
      <w:r w:rsidR="0062106B" w:rsidRPr="0062106B">
        <w:rPr>
          <w:rFonts w:ascii="Times New Roman" w:hAnsi="Times New Roman" w:cs="Times New Roman"/>
          <w:sz w:val="24"/>
          <w:szCs w:val="24"/>
        </w:rPr>
        <w:t>sa</w:t>
      </w:r>
      <w:r w:rsidRPr="0062106B">
        <w:rPr>
          <w:rFonts w:ascii="Times New Roman" w:hAnsi="Times New Roman" w:cs="Times New Roman"/>
          <w:sz w:val="24"/>
          <w:szCs w:val="24"/>
        </w:rPr>
        <w:t xml:space="preserve"> na</w:t>
      </w:r>
      <w:r w:rsidR="001B3501" w:rsidRPr="0062106B">
        <w:rPr>
          <w:rFonts w:ascii="Times New Roman" w:hAnsi="Times New Roman" w:cs="Times New Roman"/>
          <w:sz w:val="24"/>
          <w:szCs w:val="24"/>
        </w:rPr>
        <w:t xml:space="preserve"> počesť 100</w:t>
      </w:r>
      <w:r w:rsidR="0062106B" w:rsidRPr="0062106B">
        <w:rPr>
          <w:rFonts w:ascii="Times New Roman" w:hAnsi="Times New Roman" w:cs="Times New Roman"/>
          <w:sz w:val="24"/>
          <w:szCs w:val="24"/>
        </w:rPr>
        <w:t xml:space="preserve"> rokov </w:t>
      </w:r>
      <w:r w:rsidR="001B3501" w:rsidRPr="0062106B">
        <w:rPr>
          <w:rFonts w:ascii="Times New Roman" w:hAnsi="Times New Roman" w:cs="Times New Roman"/>
          <w:sz w:val="24"/>
          <w:szCs w:val="24"/>
        </w:rPr>
        <w:t xml:space="preserve"> od </w:t>
      </w:r>
    </w:p>
    <w:p w:rsidR="0062106B" w:rsidRPr="0062106B" w:rsidRDefault="001B3501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6B">
        <w:rPr>
          <w:rFonts w:ascii="Times New Roman" w:hAnsi="Times New Roman" w:cs="Times New Roman"/>
          <w:sz w:val="24"/>
          <w:szCs w:val="24"/>
        </w:rPr>
        <w:t xml:space="preserve">               úmrtia </w:t>
      </w:r>
      <w:proofErr w:type="spellStart"/>
      <w:r w:rsidRPr="0062106B">
        <w:rPr>
          <w:rFonts w:ascii="Times New Roman" w:hAnsi="Times New Roman" w:cs="Times New Roman"/>
          <w:sz w:val="24"/>
          <w:szCs w:val="24"/>
        </w:rPr>
        <w:t>Arthura</w:t>
      </w:r>
      <w:proofErr w:type="spellEnd"/>
      <w:r w:rsidRPr="0062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6B">
        <w:rPr>
          <w:rFonts w:ascii="Times New Roman" w:hAnsi="Times New Roman" w:cs="Times New Roman"/>
          <w:sz w:val="24"/>
          <w:szCs w:val="24"/>
        </w:rPr>
        <w:t>Gő</w:t>
      </w:r>
      <w:r w:rsidR="00C13D3A" w:rsidRPr="0062106B">
        <w:rPr>
          <w:rFonts w:ascii="Times New Roman" w:hAnsi="Times New Roman" w:cs="Times New Roman"/>
          <w:sz w:val="24"/>
          <w:szCs w:val="24"/>
        </w:rPr>
        <w:t>rgeya</w:t>
      </w:r>
      <w:proofErr w:type="spellEnd"/>
      <w:r w:rsidR="00C13D3A" w:rsidRPr="0062106B">
        <w:rPr>
          <w:rFonts w:ascii="Times New Roman" w:hAnsi="Times New Roman" w:cs="Times New Roman"/>
          <w:sz w:val="24"/>
          <w:szCs w:val="24"/>
        </w:rPr>
        <w:t xml:space="preserve"> </w:t>
      </w:r>
      <w:r w:rsidR="0062106B" w:rsidRPr="0062106B">
        <w:rPr>
          <w:rFonts w:ascii="Times New Roman" w:hAnsi="Times New Roman" w:cs="Times New Roman"/>
          <w:sz w:val="24"/>
          <w:szCs w:val="24"/>
        </w:rPr>
        <w:t xml:space="preserve">uskutoční </w:t>
      </w:r>
      <w:r w:rsidR="00C13D3A" w:rsidRPr="0062106B">
        <w:rPr>
          <w:rFonts w:ascii="Times New Roman" w:hAnsi="Times New Roman" w:cs="Times New Roman"/>
          <w:sz w:val="24"/>
          <w:szCs w:val="24"/>
        </w:rPr>
        <w:t>stretnutie</w:t>
      </w:r>
      <w:r w:rsidR="0062106B" w:rsidRPr="0062106B">
        <w:rPr>
          <w:rFonts w:ascii="Times New Roman" w:hAnsi="Times New Roman" w:cs="Times New Roman"/>
          <w:sz w:val="24"/>
          <w:szCs w:val="24"/>
        </w:rPr>
        <w:t xml:space="preserve"> maďarských sympatizantov tohto </w:t>
      </w:r>
    </w:p>
    <w:p w:rsidR="0062106B" w:rsidRPr="0062106B" w:rsidRDefault="0062106B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6B">
        <w:rPr>
          <w:rFonts w:ascii="Times New Roman" w:hAnsi="Times New Roman" w:cs="Times New Roman"/>
          <w:sz w:val="24"/>
          <w:szCs w:val="24"/>
        </w:rPr>
        <w:t xml:space="preserve">               človeka, ktorý hýbal dejinami v Maďarsku.  Bol ministrom vojny v Maďarsku. </w:t>
      </w:r>
    </w:p>
    <w:p w:rsidR="0062106B" w:rsidRPr="0062106B" w:rsidRDefault="0062106B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6B">
        <w:rPr>
          <w:rFonts w:ascii="Times New Roman" w:hAnsi="Times New Roman" w:cs="Times New Roman"/>
          <w:sz w:val="24"/>
          <w:szCs w:val="24"/>
        </w:rPr>
        <w:t xml:space="preserve">               Stretnutie sa uskutoční </w:t>
      </w:r>
      <w:r w:rsidR="00C13D3A" w:rsidRPr="0062106B">
        <w:rPr>
          <w:rFonts w:ascii="Times New Roman" w:hAnsi="Times New Roman" w:cs="Times New Roman"/>
          <w:sz w:val="24"/>
          <w:szCs w:val="24"/>
        </w:rPr>
        <w:t xml:space="preserve"> za účasti </w:t>
      </w:r>
      <w:r w:rsidR="00EE0162">
        <w:rPr>
          <w:rFonts w:ascii="Times New Roman" w:hAnsi="Times New Roman" w:cs="Times New Roman"/>
          <w:sz w:val="24"/>
          <w:szCs w:val="24"/>
        </w:rPr>
        <w:t xml:space="preserve">  </w:t>
      </w:r>
      <w:r w:rsidR="00C13D3A" w:rsidRPr="0062106B">
        <w:rPr>
          <w:rFonts w:ascii="Times New Roman" w:hAnsi="Times New Roman" w:cs="Times New Roman"/>
          <w:sz w:val="24"/>
          <w:szCs w:val="24"/>
        </w:rPr>
        <w:t xml:space="preserve">generálneho konzula Maďarskej republiky na </w:t>
      </w:r>
    </w:p>
    <w:p w:rsidR="00C13D3A" w:rsidRPr="0062106B" w:rsidRDefault="0062106B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3D3A" w:rsidRPr="0062106B">
        <w:rPr>
          <w:rFonts w:ascii="Times New Roman" w:hAnsi="Times New Roman" w:cs="Times New Roman"/>
          <w:sz w:val="24"/>
          <w:szCs w:val="24"/>
        </w:rPr>
        <w:t xml:space="preserve">obecnom úrade. </w:t>
      </w:r>
    </w:p>
    <w:p w:rsidR="002960C1" w:rsidRPr="004832D7" w:rsidRDefault="002960C1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D7" w:rsidRDefault="00D2317D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D7">
        <w:rPr>
          <w:rFonts w:ascii="Times New Roman" w:hAnsi="Times New Roman" w:cs="Times New Roman"/>
          <w:sz w:val="24"/>
          <w:szCs w:val="24"/>
        </w:rPr>
        <w:t xml:space="preserve">              Poslanec Vladimír </w:t>
      </w:r>
      <w:proofErr w:type="spellStart"/>
      <w:r w:rsidRPr="004832D7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Pr="004832D7">
        <w:rPr>
          <w:rFonts w:ascii="Times New Roman" w:hAnsi="Times New Roman" w:cs="Times New Roman"/>
          <w:sz w:val="24"/>
          <w:szCs w:val="24"/>
        </w:rPr>
        <w:t xml:space="preserve"> upozornil na parkovanie aut na dolnom konci, ktoré </w:t>
      </w:r>
      <w:r w:rsidR="004832D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317D" w:rsidRPr="004832D7" w:rsidRDefault="004832D7" w:rsidP="00483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17D" w:rsidRPr="004832D7">
        <w:rPr>
          <w:rFonts w:ascii="Times New Roman" w:hAnsi="Times New Roman" w:cs="Times New Roman"/>
          <w:sz w:val="24"/>
          <w:szCs w:val="24"/>
        </w:rPr>
        <w:t xml:space="preserve">parkujú na trávnikoch. </w:t>
      </w:r>
    </w:p>
    <w:p w:rsidR="003F5461" w:rsidRDefault="003F5461" w:rsidP="003F5461">
      <w:pPr>
        <w:spacing w:line="360" w:lineRule="auto"/>
        <w:jc w:val="both"/>
      </w:pPr>
    </w:p>
    <w:p w:rsidR="00DA2AE7" w:rsidRPr="00EE0162" w:rsidRDefault="00011292" w:rsidP="0001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C1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 w:rsidR="002960C1" w:rsidRPr="002960C1">
        <w:rPr>
          <w:rFonts w:ascii="Times New Roman" w:hAnsi="Times New Roman" w:cs="Times New Roman"/>
          <w:sz w:val="24"/>
          <w:szCs w:val="24"/>
        </w:rPr>
        <w:t>20</w:t>
      </w:r>
      <w:r w:rsidRPr="002960C1">
        <w:rPr>
          <w:rFonts w:ascii="Times New Roman" w:hAnsi="Times New Roman" w:cs="Times New Roman"/>
          <w:sz w:val="24"/>
          <w:szCs w:val="24"/>
        </w:rPr>
        <w:t>:</w:t>
      </w:r>
      <w:r w:rsidR="002960C1" w:rsidRPr="002960C1">
        <w:rPr>
          <w:rFonts w:ascii="Times New Roman" w:hAnsi="Times New Roman" w:cs="Times New Roman"/>
          <w:sz w:val="24"/>
          <w:szCs w:val="24"/>
        </w:rPr>
        <w:t>00</w:t>
      </w:r>
      <w:r w:rsidRPr="002960C1">
        <w:rPr>
          <w:rFonts w:ascii="Times New Roman" w:hAnsi="Times New Roman" w:cs="Times New Roman"/>
          <w:sz w:val="24"/>
          <w:szCs w:val="24"/>
        </w:rPr>
        <w:t xml:space="preserve"> hod. za jednotlivé uznesenia hlasovali poslanci, tak ako je to uvedené v texte.  </w:t>
      </w:r>
    </w:p>
    <w:p w:rsidR="00011292" w:rsidRPr="00EE0162" w:rsidRDefault="00011292" w:rsidP="0001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EE0162" w:rsidRDefault="00011292" w:rsidP="00EE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V Toporci </w:t>
      </w:r>
      <w:r w:rsidR="00F6793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679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011292" w:rsidRDefault="00011292" w:rsidP="00EE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Šateková</w:t>
      </w:r>
      <w:proofErr w:type="spellEnd"/>
    </w:p>
    <w:p w:rsidR="00011292" w:rsidRP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1292" w:rsidRPr="00011292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9D"/>
    <w:multiLevelType w:val="hybridMultilevel"/>
    <w:tmpl w:val="3FA02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472D"/>
    <w:multiLevelType w:val="hybridMultilevel"/>
    <w:tmpl w:val="ECBC728A"/>
    <w:lvl w:ilvl="0" w:tplc="F4AAB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0C43"/>
    <w:multiLevelType w:val="hybridMultilevel"/>
    <w:tmpl w:val="0C906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551"/>
    <w:multiLevelType w:val="hybridMultilevel"/>
    <w:tmpl w:val="ACE8C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3551"/>
    <w:multiLevelType w:val="hybridMultilevel"/>
    <w:tmpl w:val="C64622C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C8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86A67"/>
    <w:multiLevelType w:val="hybridMultilevel"/>
    <w:tmpl w:val="52F850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3590"/>
    <w:multiLevelType w:val="hybridMultilevel"/>
    <w:tmpl w:val="BECE8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325F"/>
    <w:multiLevelType w:val="hybridMultilevel"/>
    <w:tmpl w:val="1F1CF8B4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B047137"/>
    <w:multiLevelType w:val="hybridMultilevel"/>
    <w:tmpl w:val="2AFC62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40F42"/>
    <w:multiLevelType w:val="hybridMultilevel"/>
    <w:tmpl w:val="C166F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53A8"/>
    <w:multiLevelType w:val="hybridMultilevel"/>
    <w:tmpl w:val="C64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3189A"/>
    <w:multiLevelType w:val="hybridMultilevel"/>
    <w:tmpl w:val="1F02DD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20073"/>
    <w:multiLevelType w:val="hybridMultilevel"/>
    <w:tmpl w:val="107CA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A676B"/>
    <w:multiLevelType w:val="hybridMultilevel"/>
    <w:tmpl w:val="7826CF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15AE8"/>
    <w:multiLevelType w:val="hybridMultilevel"/>
    <w:tmpl w:val="E89E781E"/>
    <w:lvl w:ilvl="0" w:tplc="8F588A3E">
      <w:start w:val="1"/>
      <w:numFmt w:val="lowerLetter"/>
      <w:lvlText w:val="%1)"/>
      <w:lvlJc w:val="left"/>
      <w:pPr>
        <w:ind w:left="630" w:hanging="45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F8C037B"/>
    <w:multiLevelType w:val="hybridMultilevel"/>
    <w:tmpl w:val="B14E6BBE"/>
    <w:lvl w:ilvl="0" w:tplc="041B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5"/>
  </w:num>
  <w:num w:numId="10">
    <w:abstractNumId w:val="14"/>
  </w:num>
  <w:num w:numId="11">
    <w:abstractNumId w:val="8"/>
  </w:num>
  <w:num w:numId="12">
    <w:abstractNumId w:val="4"/>
  </w:num>
  <w:num w:numId="13">
    <w:abstractNumId w:val="16"/>
  </w:num>
  <w:num w:numId="14">
    <w:abstractNumId w:val="12"/>
  </w:num>
  <w:num w:numId="15">
    <w:abstractNumId w:val="6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CFD"/>
    <w:rsid w:val="0000439F"/>
    <w:rsid w:val="00011292"/>
    <w:rsid w:val="00033D56"/>
    <w:rsid w:val="00065219"/>
    <w:rsid w:val="00080F09"/>
    <w:rsid w:val="000953A1"/>
    <w:rsid w:val="00114CE6"/>
    <w:rsid w:val="001345FB"/>
    <w:rsid w:val="00177FE1"/>
    <w:rsid w:val="001924B1"/>
    <w:rsid w:val="00193CBD"/>
    <w:rsid w:val="001B3501"/>
    <w:rsid w:val="00211C7D"/>
    <w:rsid w:val="00240416"/>
    <w:rsid w:val="0027626B"/>
    <w:rsid w:val="002960C1"/>
    <w:rsid w:val="002A30AD"/>
    <w:rsid w:val="002A35C4"/>
    <w:rsid w:val="002E0762"/>
    <w:rsid w:val="00334747"/>
    <w:rsid w:val="00350573"/>
    <w:rsid w:val="0038406F"/>
    <w:rsid w:val="003A522C"/>
    <w:rsid w:val="003D6EB2"/>
    <w:rsid w:val="003E7B91"/>
    <w:rsid w:val="003F5461"/>
    <w:rsid w:val="00400F69"/>
    <w:rsid w:val="00406D40"/>
    <w:rsid w:val="00434FFD"/>
    <w:rsid w:val="00437B47"/>
    <w:rsid w:val="004832D7"/>
    <w:rsid w:val="004A175D"/>
    <w:rsid w:val="004D01D4"/>
    <w:rsid w:val="004E4E44"/>
    <w:rsid w:val="004E675F"/>
    <w:rsid w:val="004F4927"/>
    <w:rsid w:val="005240A6"/>
    <w:rsid w:val="00594A5A"/>
    <w:rsid w:val="005C2BF2"/>
    <w:rsid w:val="005F17F6"/>
    <w:rsid w:val="006112C7"/>
    <w:rsid w:val="0062106B"/>
    <w:rsid w:val="006517FA"/>
    <w:rsid w:val="00653025"/>
    <w:rsid w:val="006B3DE0"/>
    <w:rsid w:val="006B7419"/>
    <w:rsid w:val="006D4ACE"/>
    <w:rsid w:val="006D5D09"/>
    <w:rsid w:val="00722453"/>
    <w:rsid w:val="007278A1"/>
    <w:rsid w:val="007865C9"/>
    <w:rsid w:val="00801E83"/>
    <w:rsid w:val="00827BEE"/>
    <w:rsid w:val="008408E2"/>
    <w:rsid w:val="00866C1E"/>
    <w:rsid w:val="00893EF1"/>
    <w:rsid w:val="008C00A0"/>
    <w:rsid w:val="008E1ED8"/>
    <w:rsid w:val="0096504E"/>
    <w:rsid w:val="0098452A"/>
    <w:rsid w:val="0098670A"/>
    <w:rsid w:val="009964F8"/>
    <w:rsid w:val="009B2AB8"/>
    <w:rsid w:val="009E3726"/>
    <w:rsid w:val="00A05BBB"/>
    <w:rsid w:val="00A23B62"/>
    <w:rsid w:val="00A827A0"/>
    <w:rsid w:val="00A90D73"/>
    <w:rsid w:val="00A919A5"/>
    <w:rsid w:val="00AA76A1"/>
    <w:rsid w:val="00AC3FFC"/>
    <w:rsid w:val="00B04CFD"/>
    <w:rsid w:val="00B90B3F"/>
    <w:rsid w:val="00C13D3A"/>
    <w:rsid w:val="00C2312F"/>
    <w:rsid w:val="00C63125"/>
    <w:rsid w:val="00C800C6"/>
    <w:rsid w:val="00CC1E8A"/>
    <w:rsid w:val="00CE0AD2"/>
    <w:rsid w:val="00CE32E4"/>
    <w:rsid w:val="00D2317D"/>
    <w:rsid w:val="00D569B2"/>
    <w:rsid w:val="00D60E5D"/>
    <w:rsid w:val="00D82136"/>
    <w:rsid w:val="00DA2AE7"/>
    <w:rsid w:val="00DE38F4"/>
    <w:rsid w:val="00E91EDB"/>
    <w:rsid w:val="00EB11BB"/>
    <w:rsid w:val="00EE0162"/>
    <w:rsid w:val="00F04EF7"/>
    <w:rsid w:val="00F5109D"/>
    <w:rsid w:val="00F67939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C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2663</Words>
  <Characters>15185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nay</cp:lastModifiedBy>
  <cp:revision>2</cp:revision>
  <cp:lastPrinted>2016-05-13T08:04:00Z</cp:lastPrinted>
  <dcterms:created xsi:type="dcterms:W3CDTF">2016-05-13T08:29:00Z</dcterms:created>
  <dcterms:modified xsi:type="dcterms:W3CDTF">2016-05-13T08:29:00Z</dcterms:modified>
</cp:coreProperties>
</file>